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2.1  •  30 July 2026  •  oculusrex14/GODFIN (private)</w:t>
        <w:br/>
        <w:t>Production branch: codex/godfin-production-v4</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Stripe,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through accounts, reporting, and the website product tour is implemented on the private v4 branch. The local baseline is 324 passing backend tests; frontend and website production builds pass; focused desktop and website Playwright checks pass; package privacy inspection finds no local database, statement, Gmail credential, backup, or personal account artifact.</w:t>
      </w:r>
    </w:p>
    <w:p>
      <w:pPr>
        <w:keepLines/>
        <w:numPr>
          <w:ilvl w:val="0"/>
          <w:numId w:val="11"/>
        </w:numPr>
      </w:pPr>
      <w:r>
        <w:t>Private repository: https://github.com/oculusrex14/GODFIN</w:t>
      </w:r>
    </w:p>
    <w:p>
      <w:pPr>
        <w:keepLines/>
        <w:numPr>
          <w:ilvl w:val="0"/>
          <w:numId w:val="11"/>
        </w:numPr>
      </w:pPr>
      <w:r>
        <w:t>Production website: https://godfin.vercel.app</w:t>
      </w:r>
    </w:p>
    <w:p>
      <w:pPr>
        <w:keepLines/>
        <w:numPr>
          <w:ilvl w:val="0"/>
          <w:numId w:val="11"/>
        </w:numPr>
      </w:pPr>
      <w:r>
        <w:t>Supabase project: GODFIN (ap-south-1); migrations 0001–0003 match local history. Migration 0003 adds the non-revenue owner_test license kind without weakening normal three-device enforcement.</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Production deployment dpl_2dUiNiw38R9pqfsymPx7NWhpw7Ej is READY at godfin.vercel.app.</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Cloud project GODFIN Website (project ID godfin-website) is owner-controlled. Google OAuth remains pending only until the owner accepts Google’s user-data-policy acknowledgement and the final callback test passes.</w:t>
      </w:r>
    </w:p>
    <w:p>
      <w:pPr>
        <w:keepLines/>
        <w:numPr>
          <w:ilvl w:val="0"/>
          <w:numId w:val="11"/>
        </w:numPr>
      </w:pPr>
      <w:r>
        <w:t>Stripe KYC/prices, Resend/DNS, custom domain, Apple/Windows certificates, R2, clean-VM evidence,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Google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dedicated Google project exists; Google requires the owner to accept its user-data-policy acknowledgement before client creation can finish.</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and accept the policy in the open browser, then let Codex finish client/provider setup.</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sign-in returns to /account with only openid/email/profile.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Stripe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Keys, one-time Price IDs, and webhook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create test/live products and webhook.</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provisions once.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Custom domain</w:t>
            </w:r>
          </w:p>
        </w:tc>
        <w:tc>
          <w:tcPr>
            <w:tcW w:type="dxa" w:w="2100"/>
            <w:tcMar>
              <w:top w:w="80" w:type="dxa"/>
              <w:start w:w="120" w:type="dxa"/>
              <w:bottom w:w="80" w:type="dxa"/>
              <w:end w:w="120" w:type="dxa"/>
            </w:tcMar>
            <w:vAlign w:val="center"/>
          </w:tcPr>
          <w:p>
            <w:pPr>
              <w:spacing w:after="0"/>
            </w:pPr>
            <w:r>
              <w:rPr>
                <w:rFonts w:ascii="Calibri" w:hAnsi="Calibri"/>
                <w:color w:val="172033"/>
                <w:sz w:val="18"/>
              </w:rPr>
              <w:t>No Vercel domain is attached.</w:t>
            </w:r>
          </w:p>
        </w:tc>
        <w:tc>
          <w:tcPr>
            <w:tcW w:type="dxa" w:w="3000"/>
            <w:tcMar>
              <w:top w:w="80" w:type="dxa"/>
              <w:start w:w="120" w:type="dxa"/>
              <w:bottom w:w="80" w:type="dxa"/>
              <w:end w:w="120" w:type="dxa"/>
            </w:tcMar>
            <w:vAlign w:val="center"/>
          </w:tcPr>
          <w:p>
            <w:pPr>
              <w:spacing w:after="0"/>
            </w:pPr>
            <w:r>
              <w:rPr>
                <w:rFonts w:ascii="Calibri" w:hAnsi="Calibri"/>
                <w:color w:val="172033"/>
                <w:sz w:val="18"/>
              </w:rPr>
              <w:t>Register/control godfin.dev and connect DNS.</w:t>
            </w:r>
          </w:p>
        </w:tc>
        <w:tc>
          <w:tcPr>
            <w:tcW w:type="dxa" w:w="2760"/>
            <w:tcMar>
              <w:top w:w="80" w:type="dxa"/>
              <w:start w:w="120" w:type="dxa"/>
              <w:bottom w:w="80" w:type="dxa"/>
              <w:end w:w="120" w:type="dxa"/>
            </w:tcMar>
            <w:vAlign w:val="center"/>
          </w:tcPr>
          <w:p>
            <w:pPr>
              <w:spacing w:after="0"/>
            </w:pPr>
            <w:r>
              <w:rPr>
                <w:rFonts w:ascii="Calibri" w:hAnsi="Calibri"/>
                <w:color w:val="172033"/>
                <w:sz w:val="18"/>
              </w:rPr>
              <w:t>HTTPS apex and redirect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Dedicated Google Cloud project: GODFIN Website; project ID: godfin-website; project number: 173410737907.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https://godfin.vercel.app now; add https://godfin.dev and https://www.godfin.dev after domain connection.</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https://godfin.vercel.app until the custom domain is live.</w:t>
      </w:r>
    </w:p>
    <w:p>
      <w:pPr>
        <w:keepLines/>
        <w:numPr>
          <w:ilvl w:val="0"/>
          <w:numId w:val="10"/>
        </w:numPr>
      </w:pPr>
      <w:r>
        <w:t>Add https://godfin.vercel.app/auth/callback to the redirect allow-list. Later add https://godfin.dev/auth/callback and switch the Site URL to the custom domain.</w:t>
      </w:r>
    </w:p>
    <w:p>
      <w:pPr>
        <w:keepLines/>
        <w:numPr>
          <w:ilvl w:val="0"/>
          <w:numId w:val="10"/>
        </w:numPr>
      </w:pPr>
      <w:r>
        <w:t>Enable the Google provider and save.</w:t>
      </w:r>
    </w:p>
    <w:p>
      <w:pPr>
        <w:keepLines/>
        <w:numPr>
          <w:ilvl w:val="0"/>
          <w:numId w:val="10"/>
        </w:numPr>
      </w:pPr>
      <w:r>
        <w:t>Open https://godfin.vercel.app/account in a private browser window, choose Google, complete consent, and verify return to /account.</w:t>
      </w:r>
    </w:p>
    <w:p>
      <w:pPr>
        <w:keepLines/>
        <w:numPr>
          <w:ilvl w:val="0"/>
          <w:numId w:val="10"/>
        </w:numPr>
      </w:pPr>
      <w:r>
        <w:t>Sign out and repeat with a second test Google account.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Stripe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Create one-time prices and Checkout mode=payment only. Pro and Max include zero hosted AI credits. Credit packs are separate one-time purchases. Never create a subscription, trial, recurring price, or monthly allowance.</w:t>
      </w:r>
    </w:p>
    <w:p>
      <w:pPr>
        <w:pStyle w:val="Heading2"/>
      </w:pPr>
      <w:r>
        <w:t>2.1 Complete the business account</w:t>
      </w:r>
    </w:p>
    <w:p>
      <w:pPr>
        <w:keepLines/>
        <w:numPr>
          <w:ilvl w:val="0"/>
          <w:numId w:val="10"/>
        </w:numPr>
      </w:pPr>
      <w:r>
        <w:t>Use a Stripe account owned by the legal seller. Complete India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Stripe and your tax adviser that the account may sell one-time software licenses domestically and internationally, and how GST/invoices/refunds must be handled.</w:t>
      </w:r>
    </w:p>
    <w:p>
      <w:pPr>
        <w:keepLines/>
        <w:numPr>
          <w:ilvl w:val="0"/>
          <w:numId w:val="10"/>
        </w:numPr>
      </w:pPr>
      <w:r>
        <w:t>Enable Radar’s supported payment-fraud controls. Do not build hardware serial, persistent IP fingerprint, or payment-method fingerprint storage in GODFIN.</w:t>
      </w:r>
    </w:p>
    <w:p>
      <w:pPr>
        <w:pStyle w:val="Heading2"/>
      </w:pPr>
      <w:r>
        <w:t>2.2 Create test products and prices</w:t>
      </w:r>
    </w:p>
    <w:tbl>
      <w:tblPr>
        <w:tblStyle w:val="TableGrid"/>
        <w:tblW w:type="dxa" w:w="9360"/>
        <w:tblLayout w:type="fixed"/>
        <w:tblLook w:firstColumn="1" w:firstRow="1" w:lastColumn="0" w:lastRow="0" w:noHBand="0" w:noVBand="1" w:val="04A0"/>
        <w:tblInd w:w="120" w:type="dxa"/>
      </w:tblPr>
      <w:tblGrid>
        <w:gridCol w:w="2600"/>
        <w:gridCol w:w="3100"/>
        <w:gridCol w:w="1100"/>
        <w:gridCol w:w="2560"/>
      </w:tblGrid>
      <w:tr>
        <w:trPr>
          <w:tblHeader w:val="true"/>
        </w:trPr>
        <w:tc>
          <w:tcPr>
            <w:tcW w:type="dxa" w:w="2600"/>
            <w:shd w:fill="E8EEF5"/>
            <w:tcMar>
              <w:top w:w="80" w:type="dxa"/>
              <w:start w:w="120" w:type="dxa"/>
              <w:bottom w:w="80" w:type="dxa"/>
              <w:end w:w="120" w:type="dxa"/>
            </w:tcMar>
            <w:vAlign w:val="center"/>
          </w:tcPr>
          <w:p>
            <w:pPr>
              <w:spacing w:after="0"/>
            </w:pPr>
            <w:r>
              <w:rPr>
                <w:rFonts w:ascii="Calibri" w:hAnsi="Calibri"/>
                <w:b/>
                <w:color w:val="163A5F"/>
                <w:sz w:val="19"/>
              </w:rPr>
              <w:t>Environment variable</w:t>
            </w:r>
          </w:p>
        </w:tc>
        <w:tc>
          <w:tcPr>
            <w:tcW w:type="dxa" w:w="3100"/>
            <w:shd w:fill="E8EEF5"/>
            <w:tcMar>
              <w:top w:w="80" w:type="dxa"/>
              <w:start w:w="120" w:type="dxa"/>
              <w:bottom w:w="80" w:type="dxa"/>
              <w:end w:w="120" w:type="dxa"/>
            </w:tcMar>
            <w:vAlign w:val="center"/>
          </w:tcPr>
          <w:p>
            <w:pPr>
              <w:spacing w:after="0"/>
            </w:pPr>
            <w:r>
              <w:rPr>
                <w:rFonts w:ascii="Calibri" w:hAnsi="Calibri"/>
                <w:b/>
                <w:color w:val="163A5F"/>
                <w:sz w:val="19"/>
              </w:rPr>
              <w:t>Product</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Currency</w:t>
            </w:r>
          </w:p>
        </w:tc>
        <w:tc>
          <w:tcPr>
            <w:tcW w:type="dxa" w:w="2560"/>
            <w:shd w:fill="E8EEF5"/>
            <w:tcMar>
              <w:top w:w="80" w:type="dxa"/>
              <w:start w:w="120" w:type="dxa"/>
              <w:bottom w:w="80" w:type="dxa"/>
              <w:end w:w="120" w:type="dxa"/>
            </w:tcMar>
            <w:vAlign w:val="center"/>
          </w:tcPr>
          <w:p>
            <w:pPr>
              <w:spacing w:after="0"/>
            </w:pPr>
            <w:r>
              <w:rPr>
                <w:rFonts w:ascii="Calibri" w:hAnsi="Calibri"/>
                <w:b/>
                <w:color w:val="163A5F"/>
                <w:sz w:val="19"/>
              </w:rPr>
              <w:t>Exact one-time amount</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STRIPE_PRICE_PRO_US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STRIPE_PRICE_MAX_US</w:t>
            </w:r>
          </w:p>
        </w:tc>
        <w:tc>
          <w:tcPr>
            <w:tcW w:type="dxa" w:w="31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100"/>
            <w:tcMar>
              <w:top w:w="80" w:type="dxa"/>
              <w:start w:w="120" w:type="dxa"/>
              <w:bottom w:w="80" w:type="dxa"/>
              <w:end w:w="120" w:type="dxa"/>
            </w:tcMar>
            <w:vAlign w:val="center"/>
          </w:tcPr>
          <w:p>
            <w:pPr>
              <w:spacing w:after="0"/>
            </w:pPr>
            <w:r>
              <w:rPr>
                <w:rFonts w:ascii="Calibri" w:hAnsi="Calibri"/>
                <w:color w:val="172033"/>
                <w:sz w:val="18"/>
              </w:rPr>
              <w:t>USD</w:t>
            </w:r>
          </w:p>
        </w:tc>
        <w:tc>
          <w:tcPr>
            <w:tcW w:type="dxa" w:w="2560"/>
            <w:tcMar>
              <w:top w:w="80" w:type="dxa"/>
              <w:start w:w="120" w:type="dxa"/>
              <w:bottom w:w="80" w:type="dxa"/>
              <w:end w:w="120" w:type="dxa"/>
            </w:tcMar>
            <w:vAlign w:val="center"/>
          </w:tcPr>
          <w:p>
            <w:pPr>
              <w:spacing w:after="0"/>
            </w:pPr>
            <w:r>
              <w:rPr>
                <w:rFonts w:ascii="Calibri" w:hAnsi="Calibri"/>
                <w:color w:val="172033"/>
                <w:sz w:val="18"/>
              </w:rPr>
              <w:t>$199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STRIPE_PRICE_CREDITS_STARTER</w:t>
            </w:r>
          </w:p>
        </w:tc>
        <w:tc>
          <w:tcPr>
            <w:tcW w:type="dxa" w:w="3100"/>
            <w:tcMar>
              <w:top w:w="80" w:type="dxa"/>
              <w:start w:w="120" w:type="dxa"/>
              <w:bottom w:w="80" w:type="dxa"/>
              <w:end w:w="120" w:type="dxa"/>
            </w:tcMar>
            <w:vAlign w:val="center"/>
          </w:tcPr>
          <w:p>
            <w:pPr>
              <w:spacing w:after="0"/>
            </w:pPr>
            <w:r>
              <w:rPr>
                <w:rFonts w:ascii="Calibri" w:hAnsi="Calibri"/>
                <w:color w:val="172033"/>
                <w:sz w:val="18"/>
              </w:rPr>
              <w:t>500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₹249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STRIPE_PRICE_CREDITS_REGULAR</w:t>
            </w:r>
          </w:p>
        </w:tc>
        <w:tc>
          <w:tcPr>
            <w:tcW w:type="dxa" w:w="3100"/>
            <w:tcMar>
              <w:top w:w="80" w:type="dxa"/>
              <w:start w:w="120" w:type="dxa"/>
              <w:bottom w:w="80" w:type="dxa"/>
              <w:end w:w="120" w:type="dxa"/>
            </w:tcMar>
            <w:vAlign w:val="center"/>
          </w:tcPr>
          <w:p>
            <w:pPr>
              <w:spacing w:after="0"/>
            </w:pPr>
            <w:r>
              <w:rPr>
                <w:rFonts w:ascii="Calibri" w:hAnsi="Calibri"/>
                <w:color w:val="172033"/>
                <w:sz w:val="18"/>
              </w:rPr>
              <w:t>1,200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₹499</w:t>
            </w:r>
          </w:p>
        </w:tc>
      </w:tr>
      <w:tr>
        <w:tc>
          <w:tcPr>
            <w:tcW w:type="dxa" w:w="2600"/>
            <w:tcMar>
              <w:top w:w="80" w:type="dxa"/>
              <w:start w:w="120" w:type="dxa"/>
              <w:bottom w:w="80" w:type="dxa"/>
              <w:end w:w="120" w:type="dxa"/>
            </w:tcMar>
            <w:vAlign w:val="center"/>
          </w:tcPr>
          <w:p>
            <w:pPr>
              <w:spacing w:after="0"/>
            </w:pPr>
            <w:r>
              <w:rPr>
                <w:rFonts w:ascii="Calibri" w:hAnsi="Calibri"/>
                <w:color w:val="172033"/>
                <w:sz w:val="18"/>
              </w:rPr>
              <w:t>STRIPE_PRICE_CREDITS_POWER</w:t>
            </w:r>
          </w:p>
        </w:tc>
        <w:tc>
          <w:tcPr>
            <w:tcW w:type="dxa" w:w="3100"/>
            <w:tcMar>
              <w:top w:w="80" w:type="dxa"/>
              <w:start w:w="120" w:type="dxa"/>
              <w:bottom w:w="80" w:type="dxa"/>
              <w:end w:w="120" w:type="dxa"/>
            </w:tcMar>
            <w:vAlign w:val="center"/>
          </w:tcPr>
          <w:p>
            <w:pPr>
              <w:spacing w:after="0"/>
            </w:pPr>
            <w:r>
              <w:rPr>
                <w:rFonts w:ascii="Calibri" w:hAnsi="Calibri"/>
                <w:color w:val="172033"/>
                <w:sz w:val="18"/>
              </w:rPr>
              <w:t>3,000 hosted credits</w:t>
            </w:r>
          </w:p>
        </w:tc>
        <w:tc>
          <w:tcPr>
            <w:tcW w:type="dxa" w:w="1100"/>
            <w:tcMar>
              <w:top w:w="80" w:type="dxa"/>
              <w:start w:w="120" w:type="dxa"/>
              <w:bottom w:w="80" w:type="dxa"/>
              <w:end w:w="120" w:type="dxa"/>
            </w:tcMar>
            <w:vAlign w:val="center"/>
          </w:tcPr>
          <w:p>
            <w:pPr>
              <w:spacing w:after="0"/>
            </w:pPr>
            <w:r>
              <w:rPr>
                <w:rFonts w:ascii="Calibri" w:hAnsi="Calibri"/>
                <w:color w:val="172033"/>
                <w:sz w:val="18"/>
              </w:rPr>
              <w:t>INR</w:t>
            </w:r>
          </w:p>
        </w:tc>
        <w:tc>
          <w:tcPr>
            <w:tcW w:type="dxa" w:w="2560"/>
            <w:tcMar>
              <w:top w:w="80" w:type="dxa"/>
              <w:start w:w="120" w:type="dxa"/>
              <w:bottom w:w="80" w:type="dxa"/>
              <w:end w:w="120" w:type="dxa"/>
            </w:tcMar>
            <w:vAlign w:val="center"/>
          </w:tcPr>
          <w:p>
            <w:pPr>
              <w:spacing w:after="0"/>
            </w:pPr>
            <w:r>
              <w:rPr>
                <w:rFonts w:ascii="Calibri" w:hAnsi="Calibri"/>
                <w:color w:val="172033"/>
                <w:sz w:val="18"/>
              </w:rPr>
              <w:t>₹999</w:t>
            </w:r>
          </w:p>
        </w:tc>
      </w:tr>
    </w:tbl>
    <w:p>
      <w:pPr>
        <w:spacing w:after="20"/>
      </w:pPr>
    </w:p>
    <w:p>
      <w:pPr>
        <w:keepLines/>
        <w:numPr>
          <w:ilvl w:val="0"/>
          <w:numId w:val="10"/>
        </w:numPr>
      </w:pPr>
      <w:r>
        <w:t>Create every Price as one-time. Keep Test and Live Price IDs separate.</w:t>
      </w:r>
    </w:p>
    <w:p>
      <w:pPr>
        <w:keepLines/>
        <w:numPr>
          <w:ilvl w:val="0"/>
          <w:numId w:val="10"/>
        </w:numPr>
      </w:pPr>
      <w:r>
        <w:t>Add test Price IDs to Vercel Preview first. Add live Price IDs to Production only after all test-mode acceptance checks pass.</w:t>
      </w:r>
    </w:p>
    <w:p>
      <w:pPr>
        <w:keepLines/>
        <w:numPr>
          <w:ilvl w:val="0"/>
          <w:numId w:val="10"/>
        </w:numPr>
      </w:pPr>
      <w:r>
        <w:t>Leave PPP_CHECKOUT_ENABLED=false until US test checkout and country selection are verified. India remains the safe default.</w:t>
      </w:r>
    </w:p>
    <w:p>
      <w:pPr>
        <w:keepLines/>
        <w:numPr>
          <w:ilvl w:val="0"/>
          <w:numId w:val="10"/>
        </w:numPr>
      </w:pPr>
      <w:r>
        <w:t>For each new country, use a manual Stripe Price table based on the approved World Bank ICP price-level adjustment, clamped to 0.55–1.25 of the US anchor. Record the source year and approval; recalculate annually.</w:t>
      </w:r>
    </w:p>
    <w:p>
      <w:pPr>
        <w:keepLines/>
        <w:numPr>
          <w:ilvl w:val="0"/>
          <w:numId w:val="10"/>
        </w:numPr>
      </w:pPr>
      <w:r>
        <w:t>Do not let browser-supplied amounts reach Stripe. GODFIN already selects product, country, price ID, and expected amount server-side.</w:t>
      </w:r>
    </w:p>
    <w:p>
      <w:pPr>
        <w:pStyle w:val="Heading2"/>
      </w:pPr>
      <w:r>
        <w:t>2.3 Configure the webhook</w:t>
      </w:r>
    </w:p>
    <w:p>
      <w:pPr>
        <w:keepLines/>
        <w:numPr>
          <w:ilvl w:val="0"/>
          <w:numId w:val="10"/>
        </w:numPr>
      </w:pPr>
      <w:r>
        <w:t>Create a Test webhook endpoint at https://godfin.vercel.app/api/webhook.</w:t>
      </w:r>
    </w:p>
    <w:p>
      <w:pPr>
        <w:keepLines/>
        <w:numPr>
          <w:ilvl w:val="0"/>
          <w:numId w:val="10"/>
        </w:numPr>
      </w:pPr>
      <w:r>
        <w:t>Subscribe only to checkout.session.completed and checkout.session.async_payment_succeeded.</w:t>
      </w:r>
    </w:p>
    <w:p>
      <w:pPr>
        <w:keepLines/>
        <w:numPr>
          <w:ilvl w:val="0"/>
          <w:numId w:val="10"/>
        </w:numPr>
      </w:pPr>
      <w:r>
        <w:t>Copy the webhook signing secret directly into STRIPE_WEBHOOK_SECRET in Vercel Preview. Repeat with the live endpoint and Production secret after the custom domain is final.</w:t>
      </w:r>
    </w:p>
    <w:p>
      <w:pPr>
        <w:keepLines/>
        <w:numPr>
          <w:ilvl w:val="0"/>
          <w:numId w:val="10"/>
        </w:numPr>
      </w:pPr>
      <w:r>
        <w:t>Set STRIPE_SECRET_KEY and all matching Price variables in the same Vercel environment. Redeploy after changes.</w:t>
      </w:r>
    </w:p>
    <w:p>
      <w:pPr>
        <w:keepLines/>
        <w:numPr>
          <w:ilvl w:val="0"/>
          <w:numId w:val="10"/>
        </w:numPr>
      </w:pPr>
      <w:r>
        <w:t>Use Stripe CLI or Dashboard replay to send the same paid event twice. Verify one purchase, one license, one credit grant if applicable, and one license email.</w:t>
      </w:r>
    </w:p>
    <w:p>
      <w:r>
        <w:br w:type="page"/>
      </w:r>
    </w:p>
    <w:p>
      <w:pPr>
        <w:pStyle w:val="Heading2"/>
      </w:pPr>
      <w:r>
        <w:t>2.4 Payment acceptance evidence</w:t>
      </w:r>
    </w:p>
    <w:p>
      <w:pPr>
        <w:keepLines/>
        <w:numPr>
          <w:ilvl w:val="0"/>
          <w:numId w:val="12"/>
        </w:numPr>
      </w:pPr>
      <w:r>
        <w:t>Unauthenticated checkout returns a sign-in requirement.</w:t>
      </w:r>
    </w:p>
    <w:p>
      <w:pPr>
        <w:keepLines/>
        <w:numPr>
          <w:ilvl w:val="0"/>
          <w:numId w:val="12"/>
        </w:numPr>
      </w:pPr>
      <w:r>
        <w:t>Successful Pro and Max test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or unpaid sessions create nothing.</w:t>
      </w:r>
    </w:p>
    <w:p>
      <w:pPr>
        <w:keepLines/>
        <w:numPr>
          <w:ilvl w:val="0"/>
          <w:numId w:val="12"/>
        </w:numPr>
      </w:pPr>
      <w:r>
        <w:t>Async payment success provisions exactly once.</w:t>
      </w:r>
    </w:p>
    <w:p>
      <w:pPr>
        <w:keepLines/>
        <w:numPr>
          <w:ilvl w:val="0"/>
          <w:numId w:val="12"/>
        </w:numPr>
      </w:pPr>
      <w:r>
        <w:t>Credit-pack replay does not duplicate the balance.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2">
        <w:r>
          <w:rPr>
            <w:color w:val="2E74B5"/>
            <w:u w:val="single"/>
          </w:rPr>
          <w:t>Stripe India documentation</w:t>
        </w:r>
      </w:hyperlink>
    </w:p>
    <w:p>
      <w:pPr>
        <w:pStyle w:val="RunbookCaption"/>
      </w:pPr>
      <w:r>
        <w:t xml:space="preserve">Official reference: </w:t>
      </w:r>
      <w:hyperlink r:id="rId13">
        <w:r>
          <w:rPr>
            <w:color w:val="2E74B5"/>
            <w:u w:val="single"/>
          </w:rPr>
          <w:t>Stripe webhook signatures</w:t>
        </w:r>
      </w:hyperlink>
    </w:p>
    <w:p>
      <w:pPr>
        <w:spacing w:after="80"/>
      </w:pPr>
      <w:r>
        <w:rPr>
          <w:b/>
        </w:rPr>
        <w:t xml:space="preserve">Stripe account ID: </w:t>
      </w:r>
      <w:r>
        <w:t>__________________________________________________________________________</w:t>
      </w:r>
    </w:p>
    <w:p>
      <w:pPr>
        <w:spacing w:after="80"/>
      </w:pPr>
      <w:r>
        <w:rPr>
          <w:b/>
        </w:rPr>
        <w:t xml:space="preserve">Test webhook endpoint ID: </w:t>
      </w:r>
      <w:r>
        <w:t>__________________________________________________________________________</w:t>
      </w:r>
    </w:p>
    <w:p>
      <w:pPr>
        <w:spacing w:after="80"/>
      </w:pPr>
      <w:r>
        <w:rPr>
          <w:b/>
        </w:rPr>
        <w:t xml:space="preserve">Live webhook endpoint ID: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monitored addresses or aliases: licenses@godfin.dev, support@godfin.dev, privacy@godfin.dev, legal@godfin.dev, and security@godfin.dev.</w:t>
      </w:r>
    </w:p>
    <w:p>
      <w:pPr>
        <w:keepLines/>
        <w:numPr>
          <w:ilvl w:val="0"/>
          <w:numId w:val="10"/>
        </w:numPr>
      </w:pPr>
      <w:r>
        <w:t>Create a least-privilege production Resend API key. Store it directly as RESEND_API_KEY in Vercel Production and Preview; set RESEND_FROM_EMAIL to GODFIN &lt;licenses@godfin.dev&gt;.</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Support, privacy, legal, licenses, and security mailboxes are monitored.</w:t>
      </w:r>
    </w:p>
    <w:p>
      <w:pPr>
        <w:pStyle w:val="RunbookCaption"/>
      </w:pPr>
      <w:r>
        <w:t xml:space="preserve">Official reference: </w:t>
      </w:r>
      <w:hyperlink r:id="rId14">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Stripe webhook/success/cancel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Stripe,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The owner test license must be kind owner_test, tier Max, linked to the owner’s first Supabase sign-in, absent from purchase/revenue records, stored only as a hash server-side, and activated through the same three-device verification flow as a paid license.</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The promote-updates workflow requires the exact typed confirmation PUBLISH_SIGNED_RELEASE and the release-production environment. Do not run it before explicit public-launch authorization.</w:t>
      </w:r>
    </w:p>
    <w:p>
      <w:pPr>
        <w:keepLines/>
        <w:numPr>
          <w:ilvl w:val="0"/>
          <w:numId w:val="10"/>
        </w:numPr>
      </w:pPr>
      <w:r>
        <w:t>Test rollback with a previously reviewed signed release using the separate rollback workflow and its exact confirmation.</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5">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at least 324 tests pass, including auth/PIN, encryption, migrations, backups, merchant upsert, licenses, goal ledgers and FD/RD suggestions, simulation reference vectors, recurring detection, atomic accounts, package privacy, CA tax pack, classification memory, performance, net worth, behavior insights, and reward-pilot redaction.</w:t>
      </w:r>
    </w:p>
    <w:p>
      <w:pPr>
        <w:keepLines/>
        <w:numPr>
          <w:ilvl w:val="0"/>
          <w:numId w:val="12"/>
        </w:numPr>
      </w:pPr>
      <w:r>
        <w:t>Frontend: lint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Python lock, frontend, website, and desktop shipped dependencies report no known vulnerabilities.</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internal release-candidate version such as v0.1.0-rc.1. Confirm desktop/package.json and website version variables agree before tagging.</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builds native macOS arm64/x64, Windows x64, and Linux x64 artifacts; verifies packages; generates Homebrew metadata and SHA-256 checksums; and creates a private draft GitHub Release.</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hosted packs are separate one-time purchases.</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500"/>
        <w:gridCol w:w="1450"/>
        <w:gridCol w:w="900"/>
        <w:gridCol w:w="3510"/>
      </w:tblGrid>
      <w:tr>
        <w:trPr>
          <w:tblHeader w:val="true"/>
        </w:trPr>
        <w:tc>
          <w:tcPr>
            <w:tcW w:type="dxa" w:w="35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45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9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51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Google OAuth + account isolation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Stripe + webhook + refund/tax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Custom domain + security headers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Clean-system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r>
        <w:tc>
          <w:tcPr>
            <w:tcW w:type="dxa" w:w="35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450"/>
            <w:tcMar>
              <w:top w:w="80" w:type="dxa"/>
              <w:start w:w="120" w:type="dxa"/>
              <w:bottom w:w="80" w:type="dxa"/>
              <w:end w:w="120" w:type="dxa"/>
            </w:tcMar>
            <w:vAlign w:val="center"/>
          </w:tcPr>
          <w:p>
            <w:pPr>
              <w:spacing w:after="0"/>
            </w:pPr>
            <w:r>
              <w:rPr>
                <w:rFonts w:ascii="Calibri" w:hAnsi="Calibri"/>
                <w:color w:val="172033"/>
                <w:sz w:val="18"/>
              </w:rPr>
            </w:r>
          </w:p>
        </w:tc>
        <w:tc>
          <w:tcPr>
            <w:tcW w:type="dxa" w:w="900"/>
            <w:tcMar>
              <w:top w:w="80" w:type="dxa"/>
              <w:start w:w="120" w:type="dxa"/>
              <w:bottom w:w="80" w:type="dxa"/>
              <w:end w:w="120" w:type="dxa"/>
            </w:tcMar>
            <w:vAlign w:val="center"/>
          </w:tcPr>
          <w:p>
            <w:pPr>
              <w:spacing w:after="0"/>
            </w:pPr>
            <w:r>
              <w:rPr>
                <w:rFonts w:ascii="Calibri" w:hAnsi="Calibri"/>
                <w:color w:val="172033"/>
                <w:sz w:val="18"/>
              </w:rPr>
              <w:t>☐</w:t>
            </w:r>
          </w:p>
        </w:tc>
        <w:tc>
          <w:tcPr>
            <w:tcW w:type="dxa" w:w="35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r>
        <w:br w:type="page"/>
      </w: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ocs.stripe.com/india" TargetMode="External"/><Relationship Id="rId13" Type="http://schemas.openxmlformats.org/officeDocument/2006/relationships/hyperlink" Target="https://docs.stripe.com/webhooks/signature" TargetMode="External"/><Relationship Id="rId14" Type="http://schemas.openxmlformats.org/officeDocument/2006/relationships/hyperlink" Target="https://resend.com/docs/dashboard/domains/introduction" TargetMode="External"/><Relationship Id="rId15"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