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2E74B5"/>
        </w:rPr>
        <w:t>PRIVATE &amp; CONFIDENTIAL</w:t>
      </w:r>
    </w:p>
    <w:p>
      <w:pPr>
        <w:pStyle w:val="Title"/>
      </w:pPr>
      <w:r>
        <w:t>GODFIN Owner</w:t>
        <w:br/>
        <w:t>Completion Runbook</w:t>
      </w:r>
    </w:p>
    <w:p>
      <w:pPr>
        <w:spacing w:after="400"/>
      </w:pPr>
      <w:r>
        <w:rPr>
          <w:color w:val="5F6B75"/>
          <w:sz w:val="32"/>
        </w:rPr>
        <w:t>Non-Supabase / Non-Vercel launch blockers</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3F7FB"/>
            <w:tcBorders>
              <w:left w:val="single" w:sz="18" w:color="2E74B5"/>
            </w:tcBorders>
          </w:tcPr>
          <w:p>
            <w:pPr>
              <w:spacing w:after="80"/>
            </w:pPr>
            <w:r>
              <w:rPr>
                <w:b/>
                <w:color w:val="1F4D78"/>
              </w:rPr>
              <w:t>Purpose</w:t>
            </w:r>
          </w:p>
          <w:p>
            <w:pPr>
              <w:spacing w:after="0"/>
            </w:pPr>
            <w:r>
              <w:t>A single, step-by-step checklist for the owner interventions that cannot be completed safely by code alone: product scope, credential rotation, business identity, legal and tax review, payments, email, signing, distribution, clean-device QA, and final release authorization.</w:t>
            </w:r>
          </w:p>
        </w:tc>
      </w:tr>
    </w:tbl>
    <w:p/>
    <w:p>
      <w:pPr>
        <w:spacing w:after="100"/>
      </w:pPr>
      <w:r>
        <w:rPr>
          <w:b/>
        </w:rPr>
        <w:t xml:space="preserve">Owner: </w:t>
      </w:r>
      <w:r>
        <w:t>__________________________________________________________________</w:t>
      </w:r>
    </w:p>
    <w:p>
      <w:pPr>
        <w:spacing w:after="100"/>
      </w:pPr>
      <w:r>
        <w:rPr>
          <w:b/>
        </w:rPr>
        <w:t xml:space="preserve">Runbook started: </w:t>
      </w:r>
      <w:r>
        <w:t>__________________________________________________________________</w:t>
      </w:r>
    </w:p>
    <w:p>
      <w:pPr>
        <w:spacing w:after="100"/>
      </w:pPr>
      <w:r>
        <w:rPr>
          <w:b/>
        </w:rPr>
        <w:t xml:space="preserve">Target launch date: </w:t>
      </w:r>
      <w:r>
        <w:t>__________________________________________________________________</w:t>
      </w:r>
    </w:p>
    <w:p>
      <w:pPr>
        <w:spacing w:after="100"/>
      </w:pPr>
      <w:r>
        <w:rPr>
          <w:b/>
        </w:rPr>
        <w:t xml:space="preserve">Final sign-off date: </w:t>
      </w:r>
      <w:r>
        <w:t>__________________________________________________________________</w:t>
      </w:r>
    </w:p>
    <w:p/>
    <w:p>
      <w:r>
        <w:rPr>
          <w:b/>
        </w:rPr>
        <w:t xml:space="preserve">Prepared: </w:t>
      </w:r>
      <w:r>
        <w:t>29 July 2026  •  Version 1.0  •  Repository: oculusrex14/GODFIN (private)</w:t>
      </w:r>
    </w:p>
    <w:p>
      <w:pPr>
        <w:spacing w:before="360"/>
      </w:pPr>
      <w:r>
        <w:rPr>
          <w:b/>
          <w:color w:val="C00000"/>
        </w:rPr>
        <w:t xml:space="preserve">Security rule: </w:t>
      </w:r>
      <w:r>
        <w:t>Never paste credentials, OAuth tokens, signing certificates, database passwords, or license secrets into chat, email, issues, or source control.</w:t>
      </w:r>
    </w:p>
    <w:p>
      <w:r>
        <w:br w:type="page"/>
      </w:r>
    </w:p>
    <w:p>
      <w:pPr>
        <w:pStyle w:val="Heading1"/>
      </w:pPr>
      <w:r>
        <w:t>How to use this runbook</w:t>
      </w:r>
    </w:p>
    <w:p>
      <w:pPr>
        <w:pStyle w:val="ListNumber"/>
        <w:spacing w:after="80"/>
      </w:pPr>
      <w:r>
        <w:t>Complete sections in order. A later section may depend on a decision recorded earlier.</w:t>
      </w:r>
    </w:p>
    <w:p>
      <w:pPr>
        <w:pStyle w:val="ListNumber"/>
        <w:spacing w:after="80"/>
      </w:pPr>
      <w:r>
        <w:t>Use the checkboxes as evidence prompts. Record account IDs and public URLs, but never record secret values in this document.</w:t>
      </w:r>
    </w:p>
    <w:p>
      <w:pPr>
        <w:pStyle w:val="ListNumber"/>
        <w:spacing w:after="80"/>
      </w:pPr>
      <w:r>
        <w:t>Store secrets in the relevant provider’s encrypted secret store and in your password manager or secure business vault.</w:t>
      </w:r>
    </w:p>
    <w:p>
      <w:pPr>
        <w:pStyle w:val="ListNumber"/>
        <w:spacing w:after="80"/>
      </w:pPr>
      <w:r>
        <w:t>Stop immediately if a screen asks for a software subscription: GODFIN sells lifetime licenses and one-time credit packs only.</w:t>
      </w:r>
    </w:p>
    <w:p>
      <w:pPr>
        <w:pStyle w:val="ListNumber"/>
        <w:spacing w:after="80"/>
      </w:pPr>
      <w:r>
        <w:t>Do not upload desktop databases, statements, transaction exports, PINs, Gmail tokens, or LLM keys to any website service.</w:t>
      </w:r>
    </w:p>
    <w:p>
      <w:pPr>
        <w:pStyle w:val="ListNumber"/>
        <w:spacing w:after="80"/>
      </w:pPr>
      <w:r>
        <w:t>Do not publish a GitHub release or public launch post until the final sign-off section is complete.</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FF4CE"/>
            <w:tcBorders>
              <w:left w:val="single" w:sz="18" w:color="D6A400"/>
            </w:tcBorders>
          </w:tcPr>
          <w:p>
            <w:pPr>
              <w:spacing w:after="80"/>
            </w:pPr>
            <w:r>
              <w:rPr>
                <w:b/>
                <w:color w:val="1F4D78"/>
              </w:rPr>
              <w:t>Architecture boundary</w:t>
            </w:r>
          </w:p>
          <w:p>
            <w:pPr>
              <w:spacing w:after="0"/>
            </w:pPr>
            <w:r>
              <w:t>Vercel hosts only the Next.js marketing, account, payment, and license website. Supabase stores website identity, purchase, license, and optional credit records only. The Electron app, FastAPI backend, SQLite ledger, statements, budgets, merchant memory, PIN, Gmail data, and user API keys stay on the user’s device.</w:t>
            </w:r>
          </w:p>
        </w:tc>
      </w:tr>
    </w:tbl>
    <w:p>
      <w:pPr>
        <w:pStyle w:val="Heading1"/>
      </w:pPr>
      <w:r>
        <w:t>Critical path at a glance</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1380"/>
            <w:shd w:fill="E8EEF5"/>
            <w:tcMar>
              <w:top w:w="80" w:type="dxa"/>
              <w:start w:w="120" w:type="dxa"/>
              <w:bottom w:w="80" w:type="dxa"/>
              <w:end w:w="120" w:type="dxa"/>
            </w:tcMar>
            <w:vAlign w:val="center"/>
          </w:tcPr>
          <w:p>
            <w:r>
              <w:rPr>
                <w:b/>
                <w:color w:val="1F4D78"/>
              </w:rPr>
              <w:t>Gate</w:t>
            </w:r>
          </w:p>
        </w:tc>
        <w:tc>
          <w:tcPr>
            <w:tcW w:type="dxa" w:w="2580"/>
            <w:shd w:fill="E8EEF5"/>
            <w:tcMar>
              <w:top w:w="80" w:type="dxa"/>
              <w:start w:w="120" w:type="dxa"/>
              <w:bottom w:w="80" w:type="dxa"/>
              <w:end w:w="120" w:type="dxa"/>
            </w:tcMar>
            <w:vAlign w:val="center"/>
          </w:tcPr>
          <w:p>
            <w:r>
              <w:rPr>
                <w:b/>
                <w:color w:val="1F4D78"/>
              </w:rPr>
              <w:t>Current blocker</w:t>
            </w:r>
          </w:p>
        </w:tc>
        <w:tc>
          <w:tcPr>
            <w:tcW w:type="dxa" w:w="2880"/>
            <w:shd w:fill="E8EEF5"/>
            <w:tcMar>
              <w:top w:w="80" w:type="dxa"/>
              <w:start w:w="120" w:type="dxa"/>
              <w:bottom w:w="80" w:type="dxa"/>
              <w:end w:w="120" w:type="dxa"/>
            </w:tcMar>
            <w:vAlign w:val="center"/>
          </w:tcPr>
          <w:p>
            <w:r>
              <w:rPr>
                <w:b/>
                <w:color w:val="1F4D78"/>
              </w:rPr>
              <w:t>Owner action</w:t>
            </w:r>
          </w:p>
        </w:tc>
        <w:tc>
          <w:tcPr>
            <w:tcW w:type="dxa" w:w="2520"/>
            <w:shd w:fill="E8EEF5"/>
            <w:tcMar>
              <w:top w:w="80" w:type="dxa"/>
              <w:start w:w="120" w:type="dxa"/>
              <w:bottom w:w="80" w:type="dxa"/>
              <w:end w:w="120" w:type="dxa"/>
            </w:tcMar>
            <w:vAlign w:val="center"/>
          </w:tcPr>
          <w:p>
            <w:r>
              <w:rPr>
                <w:b/>
                <w:color w:val="1F4D78"/>
              </w:rPr>
              <w:t>Done when</w:t>
            </w:r>
          </w:p>
        </w:tc>
      </w:tr>
      <w:tr>
        <w:tc>
          <w:tcPr>
            <w:tcW w:type="dxa" w:w="1380"/>
            <w:tcMar>
              <w:top w:w="80" w:type="dxa"/>
              <w:start w:w="120" w:type="dxa"/>
              <w:bottom w:w="80" w:type="dxa"/>
              <w:end w:w="120" w:type="dxa"/>
            </w:tcMar>
            <w:vAlign w:val="center"/>
          </w:tcPr>
          <w:p>
            <w:r>
              <w:t>1. Product scope</w:t>
            </w:r>
          </w:p>
        </w:tc>
        <w:tc>
          <w:tcPr>
            <w:tcW w:type="dxa" w:w="2580"/>
            <w:tcMar>
              <w:top w:w="80" w:type="dxa"/>
              <w:start w:w="120" w:type="dxa"/>
              <w:bottom w:w="80" w:type="dxa"/>
              <w:end w:w="120" w:type="dxa"/>
            </w:tcMar>
            <w:vAlign w:val="center"/>
          </w:tcPr>
          <w:p>
            <w:r>
              <w:t>Current pricing page promises features not implemented end-to-end.</w:t>
            </w:r>
          </w:p>
        </w:tc>
        <w:tc>
          <w:tcPr>
            <w:tcW w:type="dxa" w:w="2880"/>
            <w:tcMar>
              <w:top w:w="80" w:type="dxa"/>
              <w:start w:w="120" w:type="dxa"/>
              <w:bottom w:w="80" w:type="dxa"/>
              <w:end w:w="120" w:type="dxa"/>
            </w:tcMar>
            <w:vAlign w:val="center"/>
          </w:tcPr>
          <w:p>
            <w:r>
              <w:t>Choose the lean launch or fund/authorize the full promise.</w:t>
            </w:r>
          </w:p>
        </w:tc>
        <w:tc>
          <w:tcPr>
            <w:tcW w:type="dxa" w:w="2520"/>
            <w:tcMar>
              <w:top w:w="80" w:type="dxa"/>
              <w:start w:w="120" w:type="dxa"/>
              <w:bottom w:w="80" w:type="dxa"/>
              <w:end w:w="120" w:type="dxa"/>
            </w:tcMar>
            <w:vAlign w:val="center"/>
          </w:tcPr>
          <w:p>
            <w:r>
              <w:t>Every paid claim is demonstrably true.</w:t>
            </w:r>
          </w:p>
        </w:tc>
      </w:tr>
      <w:tr>
        <w:tc>
          <w:tcPr>
            <w:tcW w:type="dxa" w:w="1380"/>
            <w:tcMar>
              <w:top w:w="80" w:type="dxa"/>
              <w:start w:w="120" w:type="dxa"/>
              <w:bottom w:w="80" w:type="dxa"/>
              <w:end w:w="120" w:type="dxa"/>
            </w:tcMar>
            <w:vAlign w:val="center"/>
          </w:tcPr>
          <w:p>
            <w:r>
              <w:t>2. Security</w:t>
            </w:r>
          </w:p>
        </w:tc>
        <w:tc>
          <w:tcPr>
            <w:tcW w:type="dxa" w:w="2580"/>
            <w:tcMar>
              <w:top w:w="80" w:type="dxa"/>
              <w:start w:w="120" w:type="dxa"/>
              <w:bottom w:w="80" w:type="dxa"/>
              <w:end w:w="120" w:type="dxa"/>
            </w:tcMar>
            <w:vAlign w:val="center"/>
          </w:tcPr>
          <w:p>
            <w:r>
              <w:t>Legacy local Git history contained Gmail OAuth credentials.</w:t>
            </w:r>
          </w:p>
        </w:tc>
        <w:tc>
          <w:tcPr>
            <w:tcW w:type="dxa" w:w="2880"/>
            <w:tcMar>
              <w:top w:w="80" w:type="dxa"/>
              <w:start w:w="120" w:type="dxa"/>
              <w:bottom w:w="80" w:type="dxa"/>
              <w:end w:w="120" w:type="dxa"/>
            </w:tcMar>
            <w:vAlign w:val="center"/>
          </w:tcPr>
          <w:p>
            <w:r>
              <w:t>Revoke the token and delete/rotate the old OAuth client.</w:t>
            </w:r>
          </w:p>
        </w:tc>
        <w:tc>
          <w:tcPr>
            <w:tcW w:type="dxa" w:w="2520"/>
            <w:tcMar>
              <w:top w:w="80" w:type="dxa"/>
              <w:start w:w="120" w:type="dxa"/>
              <w:bottom w:w="80" w:type="dxa"/>
              <w:end w:w="120" w:type="dxa"/>
            </w:tcMar>
            <w:vAlign w:val="center"/>
          </w:tcPr>
          <w:p>
            <w:r>
              <w:t>Old credentials cannot authenticate.</w:t>
            </w:r>
          </w:p>
        </w:tc>
      </w:tr>
      <w:tr>
        <w:tc>
          <w:tcPr>
            <w:tcW w:type="dxa" w:w="1380"/>
            <w:tcMar>
              <w:top w:w="80" w:type="dxa"/>
              <w:start w:w="120" w:type="dxa"/>
              <w:bottom w:w="80" w:type="dxa"/>
              <w:end w:w="120" w:type="dxa"/>
            </w:tcMar>
            <w:vAlign w:val="center"/>
          </w:tcPr>
          <w:p>
            <w:r>
              <w:t>3. Identity/legal</w:t>
            </w:r>
          </w:p>
        </w:tc>
        <w:tc>
          <w:tcPr>
            <w:tcW w:type="dxa" w:w="2580"/>
            <w:tcMar>
              <w:top w:w="80" w:type="dxa"/>
              <w:start w:w="120" w:type="dxa"/>
              <w:bottom w:w="80" w:type="dxa"/>
              <w:end w:w="120" w:type="dxa"/>
            </w:tcMar>
            <w:vAlign w:val="center"/>
          </w:tcPr>
          <w:p>
            <w:r>
              <w:t>Domain, seller identity, tax, refund, support, and legal review are unresolved.</w:t>
            </w:r>
          </w:p>
        </w:tc>
        <w:tc>
          <w:tcPr>
            <w:tcW w:type="dxa" w:w="2880"/>
            <w:tcMar>
              <w:top w:w="80" w:type="dxa"/>
              <w:start w:w="120" w:type="dxa"/>
              <w:bottom w:w="80" w:type="dxa"/>
              <w:end w:w="120" w:type="dxa"/>
            </w:tcMar>
            <w:vAlign w:val="center"/>
          </w:tcPr>
          <w:p>
            <w:r>
              <w:t>Record the business facts and obtain professional review.</w:t>
            </w:r>
          </w:p>
        </w:tc>
        <w:tc>
          <w:tcPr>
            <w:tcW w:type="dxa" w:w="2520"/>
            <w:tcMar>
              <w:top w:w="80" w:type="dxa"/>
              <w:start w:w="120" w:type="dxa"/>
              <w:bottom w:w="80" w:type="dxa"/>
              <w:end w:w="120" w:type="dxa"/>
            </w:tcMar>
            <w:vAlign w:val="center"/>
          </w:tcPr>
          <w:p>
            <w:r>
              <w:t>Checkout, invoices, privacy, and terms agree.</w:t>
            </w:r>
          </w:p>
        </w:tc>
      </w:tr>
      <w:tr>
        <w:tc>
          <w:tcPr>
            <w:tcW w:type="dxa" w:w="1380"/>
            <w:tcMar>
              <w:top w:w="80" w:type="dxa"/>
              <w:start w:w="120" w:type="dxa"/>
              <w:bottom w:w="80" w:type="dxa"/>
              <w:end w:w="120" w:type="dxa"/>
            </w:tcMar>
            <w:vAlign w:val="center"/>
          </w:tcPr>
          <w:p>
            <w:r>
              <w:t>4. Commerce/email</w:t>
            </w:r>
          </w:p>
        </w:tc>
        <w:tc>
          <w:tcPr>
            <w:tcW w:type="dxa" w:w="2580"/>
            <w:tcMar>
              <w:top w:w="80" w:type="dxa"/>
              <w:start w:w="120" w:type="dxa"/>
              <w:bottom w:w="80" w:type="dxa"/>
              <w:end w:w="120" w:type="dxa"/>
            </w:tcMar>
            <w:vAlign w:val="center"/>
          </w:tcPr>
          <w:p>
            <w:r>
              <w:t>Stripe and Resend production accounts are not configured.</w:t>
            </w:r>
          </w:p>
        </w:tc>
        <w:tc>
          <w:tcPr>
            <w:tcW w:type="dxa" w:w="2880"/>
            <w:tcMar>
              <w:top w:w="80" w:type="dxa"/>
              <w:start w:w="120" w:type="dxa"/>
              <w:bottom w:w="80" w:type="dxa"/>
              <w:end w:w="120" w:type="dxa"/>
            </w:tcMar>
            <w:vAlign w:val="center"/>
          </w:tcPr>
          <w:p>
            <w:r>
              <w:t>Complete KYC, create one-time products, verify email domain, run tests.</w:t>
            </w:r>
          </w:p>
        </w:tc>
        <w:tc>
          <w:tcPr>
            <w:tcW w:type="dxa" w:w="2520"/>
            <w:tcMar>
              <w:top w:w="80" w:type="dxa"/>
              <w:start w:w="120" w:type="dxa"/>
              <w:bottom w:w="80" w:type="dxa"/>
              <w:end w:w="120" w:type="dxa"/>
            </w:tcMar>
            <w:vAlign w:val="center"/>
          </w:tcPr>
          <w:p>
            <w:r>
              <w:t>Payment provisions one license and one email.</w:t>
            </w:r>
          </w:p>
        </w:tc>
      </w:tr>
      <w:tr>
        <w:tc>
          <w:tcPr>
            <w:tcW w:type="dxa" w:w="1380"/>
            <w:tcMar>
              <w:top w:w="80" w:type="dxa"/>
              <w:start w:w="120" w:type="dxa"/>
              <w:bottom w:w="80" w:type="dxa"/>
              <w:end w:w="120" w:type="dxa"/>
            </w:tcMar>
            <w:vAlign w:val="center"/>
          </w:tcPr>
          <w:p>
            <w:r>
              <w:t>5. Signing</w:t>
            </w:r>
          </w:p>
        </w:tc>
        <w:tc>
          <w:tcPr>
            <w:tcW w:type="dxa" w:w="2580"/>
            <w:tcMar>
              <w:top w:w="80" w:type="dxa"/>
              <w:start w:w="120" w:type="dxa"/>
              <w:bottom w:w="80" w:type="dxa"/>
              <w:end w:w="120" w:type="dxa"/>
            </w:tcMar>
            <w:vAlign w:val="center"/>
          </w:tcPr>
          <w:p>
            <w:r>
              <w:t>macOS and Windows production signing credentials are absent.</w:t>
            </w:r>
          </w:p>
        </w:tc>
        <w:tc>
          <w:tcPr>
            <w:tcW w:type="dxa" w:w="2880"/>
            <w:tcMar>
              <w:top w:w="80" w:type="dxa"/>
              <w:start w:w="120" w:type="dxa"/>
              <w:bottom w:w="80" w:type="dxa"/>
              <w:end w:w="120" w:type="dxa"/>
            </w:tcMar>
            <w:vAlign w:val="center"/>
          </w:tcPr>
          <w:p>
            <w:r>
              <w:t>Enroll, obtain certificates, and add repository secrets.</w:t>
            </w:r>
          </w:p>
        </w:tc>
        <w:tc>
          <w:tcPr>
            <w:tcW w:type="dxa" w:w="2520"/>
            <w:tcMar>
              <w:top w:w="80" w:type="dxa"/>
              <w:start w:w="120" w:type="dxa"/>
              <w:bottom w:w="80" w:type="dxa"/>
              <w:end w:w="120" w:type="dxa"/>
            </w:tcMar>
            <w:vAlign w:val="center"/>
          </w:tcPr>
          <w:p>
            <w:r>
              <w:t>Installers verify as signed/notarized.</w:t>
            </w:r>
          </w:p>
        </w:tc>
      </w:tr>
      <w:tr>
        <w:tc>
          <w:tcPr>
            <w:tcW w:type="dxa" w:w="1380"/>
            <w:tcMar>
              <w:top w:w="80" w:type="dxa"/>
              <w:start w:w="120" w:type="dxa"/>
              <w:bottom w:w="80" w:type="dxa"/>
              <w:end w:w="120" w:type="dxa"/>
            </w:tcMar>
            <w:vAlign w:val="center"/>
          </w:tcPr>
          <w:p>
            <w:r>
              <w:t>6. Distribution</w:t>
            </w:r>
          </w:p>
        </w:tc>
        <w:tc>
          <w:tcPr>
            <w:tcW w:type="dxa" w:w="2580"/>
            <w:tcMar>
              <w:top w:w="80" w:type="dxa"/>
              <w:start w:w="120" w:type="dxa"/>
              <w:bottom w:w="80" w:type="dxa"/>
              <w:end w:w="120" w:type="dxa"/>
            </w:tcMar>
            <w:vAlign w:val="center"/>
          </w:tcPr>
          <w:p>
            <w:r>
              <w:t>No immutable release bucket, update domain, or signed public artifacts.</w:t>
            </w:r>
          </w:p>
        </w:tc>
        <w:tc>
          <w:tcPr>
            <w:tcW w:type="dxa" w:w="2880"/>
            <w:tcMar>
              <w:top w:w="80" w:type="dxa"/>
              <w:start w:w="120" w:type="dxa"/>
              <w:bottom w:w="80" w:type="dxa"/>
              <w:end w:w="120" w:type="dxa"/>
            </w:tcMar>
            <w:vAlign w:val="center"/>
          </w:tcPr>
          <w:p>
            <w:r>
              <w:t>Configure R2 and run a private draft release.</w:t>
            </w:r>
          </w:p>
        </w:tc>
        <w:tc>
          <w:tcPr>
            <w:tcW w:type="dxa" w:w="2520"/>
            <w:tcMar>
              <w:top w:w="80" w:type="dxa"/>
              <w:start w:w="120" w:type="dxa"/>
              <w:bottom w:w="80" w:type="dxa"/>
              <w:end w:w="120" w:type="dxa"/>
            </w:tcMar>
            <w:vAlign w:val="center"/>
          </w:tcPr>
          <w:p>
            <w:r>
              <w:t>Downloads and updater metadata resolve.</w:t>
            </w:r>
          </w:p>
        </w:tc>
      </w:tr>
      <w:tr>
        <w:tc>
          <w:tcPr>
            <w:tcW w:type="dxa" w:w="1380"/>
            <w:tcMar>
              <w:top w:w="80" w:type="dxa"/>
              <w:start w:w="120" w:type="dxa"/>
              <w:bottom w:w="80" w:type="dxa"/>
              <w:end w:w="120" w:type="dxa"/>
            </w:tcMar>
            <w:vAlign w:val="center"/>
          </w:tcPr>
          <w:p>
            <w:r>
              <w:t>7. QA</w:t>
            </w:r>
          </w:p>
        </w:tc>
        <w:tc>
          <w:tcPr>
            <w:tcW w:type="dxa" w:w="2580"/>
            <w:tcMar>
              <w:top w:w="80" w:type="dxa"/>
              <w:start w:w="120" w:type="dxa"/>
              <w:bottom w:w="80" w:type="dxa"/>
              <w:end w:w="120" w:type="dxa"/>
            </w:tcMar>
            <w:vAlign w:val="center"/>
          </w:tcPr>
          <w:p>
            <w:r>
              <w:t>Signed builds are not tested on clean supported systems.</w:t>
            </w:r>
          </w:p>
        </w:tc>
        <w:tc>
          <w:tcPr>
            <w:tcW w:type="dxa" w:w="2880"/>
            <w:tcMar>
              <w:top w:w="80" w:type="dxa"/>
              <w:start w:w="120" w:type="dxa"/>
              <w:bottom w:w="80" w:type="dxa"/>
              <w:end w:w="120" w:type="dxa"/>
            </w:tcMar>
            <w:vAlign w:val="center"/>
          </w:tcPr>
          <w:p>
            <w:r>
              <w:t>Execute the clean-device and commerce matrices.</w:t>
            </w:r>
          </w:p>
        </w:tc>
        <w:tc>
          <w:tcPr>
            <w:tcW w:type="dxa" w:w="2520"/>
            <w:tcMar>
              <w:top w:w="80" w:type="dxa"/>
              <w:start w:w="120" w:type="dxa"/>
              <w:bottom w:w="80" w:type="dxa"/>
              <w:end w:w="120" w:type="dxa"/>
            </w:tcMar>
            <w:vAlign w:val="center"/>
          </w:tcPr>
          <w:p>
            <w:r>
              <w:t>All acceptance evidence is captured.</w:t>
            </w:r>
          </w:p>
        </w:tc>
      </w:tr>
      <w:tr>
        <w:tc>
          <w:tcPr>
            <w:tcW w:type="dxa" w:w="1380"/>
            <w:tcMar>
              <w:top w:w="80" w:type="dxa"/>
              <w:start w:w="120" w:type="dxa"/>
              <w:bottom w:w="80" w:type="dxa"/>
              <w:end w:w="120" w:type="dxa"/>
            </w:tcMar>
            <w:vAlign w:val="center"/>
          </w:tcPr>
          <w:p>
            <w:r>
              <w:t>8. Launch</w:t>
            </w:r>
          </w:p>
        </w:tc>
        <w:tc>
          <w:tcPr>
            <w:tcW w:type="dxa" w:w="2580"/>
            <w:tcMar>
              <w:top w:w="80" w:type="dxa"/>
              <w:start w:w="120" w:type="dxa"/>
              <w:bottom w:w="80" w:type="dxa"/>
              <w:end w:w="120" w:type="dxa"/>
            </w:tcMar>
            <w:vAlign w:val="center"/>
          </w:tcPr>
          <w:p>
            <w:r>
              <w:t>Final screenshots, support readiness, and owner authorization are pending.</w:t>
            </w:r>
          </w:p>
        </w:tc>
        <w:tc>
          <w:tcPr>
            <w:tcW w:type="dxa" w:w="2880"/>
            <w:tcMar>
              <w:top w:w="80" w:type="dxa"/>
              <w:start w:w="120" w:type="dxa"/>
              <w:bottom w:w="80" w:type="dxa"/>
              <w:end w:w="120" w:type="dxa"/>
            </w:tcMar>
            <w:vAlign w:val="center"/>
          </w:tcPr>
          <w:p>
            <w:r>
              <w:t>Capture shipped UI, approve copy, and sign the release gate.</w:t>
            </w:r>
          </w:p>
        </w:tc>
        <w:tc>
          <w:tcPr>
            <w:tcW w:type="dxa" w:w="2520"/>
            <w:tcMar>
              <w:top w:w="80" w:type="dxa"/>
              <w:start w:w="120" w:type="dxa"/>
              <w:bottom w:w="80" w:type="dxa"/>
              <w:end w:w="120" w:type="dxa"/>
            </w:tcMar>
            <w:vAlign w:val="center"/>
          </w:tcPr>
          <w:p>
            <w:r>
              <w:t>Public launch is explicitly authorized.</w:t>
            </w:r>
          </w:p>
        </w:tc>
      </w:tr>
    </w:tbl>
    <w:p>
      <w:pPr>
        <w:pStyle w:val="Heading1"/>
      </w:pPr>
      <w:r>
        <w:t>1. Freeze the launch product promise</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DECEC"/>
            <w:tcBorders>
              <w:left w:val="single" w:sz="18" w:color="C00000"/>
            </w:tcBorders>
          </w:tcPr>
          <w:p>
            <w:pPr>
              <w:spacing w:after="80"/>
            </w:pPr>
            <w:r>
              <w:rPr>
                <w:b/>
                <w:color w:val="1F4D78"/>
              </w:rPr>
              <w:t>Why this is blocked</w:t>
            </w:r>
          </w:p>
          <w:p>
            <w:pPr>
              <w:spacing w:after="0"/>
            </w:pPr>
            <w:r>
              <w:t>The website currently advertises recurring monthly AI credits, encrypted backup/sync, family profiles, white-label reports, a local REST API, and early parser access. The production code can provision credit balances, but it does not yet consume credits, refresh monthly balances, or deliver several of these advertised entitlements. Accepting payment against those claims creates customer, refund, and legal risk.</w:t>
            </w:r>
          </w:p>
        </w:tc>
      </w:tr>
    </w:tbl>
    <w:p>
      <w:pPr>
        <w:pStyle w:val="Heading2"/>
      </w:pPr>
      <w:r>
        <w:t>1.1 Choose one launch path</w:t>
      </w:r>
    </w:p>
    <w:p>
      <w:pPr>
        <w:spacing w:after="80"/>
        <w:ind w:left="173" w:hanging="29"/>
      </w:pPr>
      <w:r>
        <w:rPr>
          <w:rFonts w:ascii="Arial Unicode MS" w:hAnsi="Arial Unicode MS"/>
        </w:rPr>
        <w:t xml:space="preserve">☐ </w:t>
      </w:r>
      <w:r>
        <w:t>Path A — Lean launch (recommended): sell only capabilities that are implemented, tested, and supportable now.</w:t>
      </w:r>
    </w:p>
    <w:p>
      <w:pPr>
        <w:spacing w:after="80"/>
        <w:ind w:left="173" w:hanging="29"/>
      </w:pPr>
      <w:r>
        <w:rPr>
          <w:rFonts w:ascii="Arial Unicode MS" w:hAnsi="Arial Unicode MS"/>
        </w:rPr>
        <w:t xml:space="preserve">☐ </w:t>
      </w:r>
      <w:r>
        <w:t>Path B — Full advertised launch: authorize additional engineering for hosted AI credit consumption, monthly refresh logic, encrypted backup/sync, family profiles, white-label reports, and every other unshipped claim before accepting payment.</w:t>
      </w:r>
    </w:p>
    <w:p>
      <w:pPr>
        <w:spacing w:after="100"/>
      </w:pPr>
      <w:r>
        <w:rPr>
          <w:b/>
        </w:rPr>
        <w:t xml:space="preserve">Chosen path: </w:t>
      </w:r>
      <w:r>
        <w:t>__________________________________________________________________</w:t>
      </w:r>
    </w:p>
    <w:p>
      <w:pPr>
        <w:spacing w:after="100"/>
      </w:pPr>
      <w:r>
        <w:rPr>
          <w:b/>
        </w:rPr>
        <w:t xml:space="preserve">Decision owner and date: </w:t>
      </w:r>
      <w:r>
        <w:t>__________________________________________________________________</w:t>
      </w:r>
    </w:p>
    <w:p>
      <w:pPr>
        <w:pStyle w:val="Heading2"/>
      </w:pPr>
      <w:r>
        <w:t>1.2 If you choose the lean launch</w:t>
      </w:r>
    </w:p>
    <w:p>
      <w:pPr>
        <w:pStyle w:val="ListNumber"/>
        <w:spacing w:after="80"/>
      </w:pPr>
      <w:r>
        <w:t>Keep Core free and describe only the verified HDFC launch parsers and local features that pass acceptance testing.</w:t>
      </w:r>
    </w:p>
    <w:p>
      <w:pPr>
        <w:pStyle w:val="ListNumber"/>
        <w:spacing w:after="80"/>
      </w:pPr>
      <w:r>
        <w:t>Define a reduced Pro lifetime feature list using only working entitlements. Do not promise a monthly allowance.</w:t>
      </w:r>
    </w:p>
    <w:p>
      <w:pPr>
        <w:pStyle w:val="ListNumber"/>
        <w:spacing w:after="80"/>
      </w:pPr>
      <w:r>
        <w:t>Hide Max until its differentiators are implemented and tested.</w:t>
      </w:r>
    </w:p>
    <w:p>
      <w:pPr>
        <w:pStyle w:val="ListNumber"/>
        <w:spacing w:after="80"/>
      </w:pPr>
      <w:r>
        <w:t>Hide all AI credit-pack checkout buttons until there is an auditable, idempotent consumption ledger and a working inference path.</w:t>
      </w:r>
    </w:p>
    <w:p>
      <w:pPr>
        <w:pStyle w:val="ListNumber"/>
        <w:spacing w:after="80"/>
      </w:pPr>
      <w:r>
        <w:t>Remove backup/sync, family, white-label, early-access, and other unverified claims from pricing, comparison tables, FAQs, launch posts, and email.</w:t>
      </w:r>
    </w:p>
    <w:p>
      <w:pPr>
        <w:pStyle w:val="ListNumber"/>
        <w:spacing w:after="80"/>
      </w:pPr>
      <w:r>
        <w:t>Ask the engineering agent to implement the approved copy change and rerun website tests before production checkout is enabled.</w:t>
      </w:r>
    </w:p>
    <w:p>
      <w:pPr>
        <w:pStyle w:val="Heading2"/>
      </w:pPr>
      <w:r>
        <w:t>1.3 If you choose the full advertised launch</w:t>
      </w:r>
    </w:p>
    <w:p>
      <w:pPr>
        <w:pStyle w:val="ListNumber"/>
        <w:spacing w:after="80"/>
      </w:pPr>
      <w:r>
        <w:t>Provide written acceptance criteria for each paid entitlement.</w:t>
      </w:r>
    </w:p>
    <w:p>
      <w:pPr>
        <w:pStyle w:val="ListNumber"/>
        <w:spacing w:after="80"/>
      </w:pPr>
      <w:r>
        <w:t>Authorize a hosted AI gateway that never receives the local financial ledger unless the user explicitly sends selected text for inference.</w:t>
      </w:r>
    </w:p>
    <w:p>
      <w:pPr>
        <w:pStyle w:val="ListNumber"/>
        <w:spacing w:after="80"/>
      </w:pPr>
      <w:r>
        <w:t>Require a transactional credit ledger: grant, consume, refund, replay protection, balance reconciliation, and operator audit.</w:t>
      </w:r>
    </w:p>
    <w:p>
      <w:pPr>
        <w:pStyle w:val="ListNumber"/>
        <w:spacing w:after="80"/>
      </w:pPr>
      <w:r>
        <w:t>Define whether ‘monthly credits’ are a subscription-like benefit attached to a lifetime license, when they reset, whether they roll over, and how long the service is guaranteed.</w:t>
      </w:r>
    </w:p>
    <w:p>
      <w:pPr>
        <w:pStyle w:val="ListNumber"/>
        <w:spacing w:after="80"/>
      </w:pPr>
      <w:r>
        <w:t>Implement and threat-model encrypted backup/sync before advertising it; define key custody, recovery, retention, deletion, and breach response.</w:t>
      </w:r>
    </w:p>
    <w:p>
      <w:pPr>
        <w:pStyle w:val="ListNumber"/>
        <w:spacing w:after="80"/>
      </w:pPr>
      <w:r>
        <w:t>Implement family profiles, white-label reports, API access controls, and entitlement enforcement in both desktop and website.</w:t>
      </w:r>
    </w:p>
    <w:p>
      <w:pPr>
        <w:pStyle w:val="ListNumber"/>
        <w:spacing w:after="80"/>
      </w:pPr>
      <w:r>
        <w:t>Run security, load, failure, and refund tests; then obtain legal review of every claim.</w:t>
      </w:r>
    </w:p>
    <w:p>
      <w:pPr>
        <w:pStyle w:val="Heading1"/>
      </w:pPr>
      <w:r>
        <w:t>2. Revoke legacy Gmail credentials</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DECEC"/>
            <w:tcBorders>
              <w:left w:val="single" w:sz="18" w:color="C00000"/>
            </w:tcBorders>
          </w:tcPr>
          <w:p>
            <w:pPr>
              <w:spacing w:after="80"/>
            </w:pPr>
            <w:r>
              <w:rPr>
                <w:b/>
                <w:color w:val="1F4D78"/>
              </w:rPr>
              <w:t>Why this is blocked</w:t>
            </w:r>
          </w:p>
          <w:p>
            <w:pPr>
              <w:spacing w:after="0"/>
            </w:pPr>
            <w:r>
              <w:t>The cleaned private repository no longer contains the files, but an older local history included backend/data/client_secret.json and backend/data/gmail_token.json. History cleanup prevents future exposure; it does not invalidate credentials that may already have been copied.</w:t>
            </w:r>
          </w:p>
        </w:tc>
      </w:tr>
    </w:tbl>
    <w:p>
      <w:pPr>
        <w:pStyle w:val="Heading2"/>
      </w:pPr>
      <w:r>
        <w:t>2.1 Revoke the user OAuth grant</w:t>
      </w:r>
    </w:p>
    <w:p>
      <w:pPr>
        <w:pStyle w:val="ListNumber"/>
        <w:spacing w:after="80"/>
      </w:pPr>
      <w:r>
        <w:t>Open your Google Account security page in a private browser window.</w:t>
      </w:r>
    </w:p>
    <w:p>
      <w:pPr>
        <w:pStyle w:val="ListNumber"/>
        <w:spacing w:after="80"/>
      </w:pPr>
      <w:r>
        <w:t>Open third-party connections or apps with account access.</w:t>
      </w:r>
    </w:p>
    <w:p>
      <w:pPr>
        <w:pStyle w:val="ListNumber"/>
        <w:spacing w:after="80"/>
      </w:pPr>
      <w:r>
        <w:t>Find the OAuth app previously used by GODFIN or the old Gmail integration.</w:t>
      </w:r>
    </w:p>
    <w:p>
      <w:pPr>
        <w:pStyle w:val="ListNumber"/>
        <w:spacing w:after="80"/>
      </w:pPr>
      <w:r>
        <w:t>Remove its access. If uncertain, remove every obsolete test entry associated with this project.</w:t>
      </w:r>
    </w:p>
    <w:p>
      <w:pPr>
        <w:pStyle w:val="ListNumber"/>
        <w:spacing w:after="80"/>
      </w:pPr>
      <w:r>
        <w:t>Confirm the old gmail_token.json no longer works by attempting authentication only in an isolated local test, then delete the test copy.</w:t>
      </w:r>
    </w:p>
    <w:p>
      <w:pPr>
        <w:pStyle w:val="Heading2"/>
      </w:pPr>
      <w:r>
        <w:t>2.2 Delete or rotate the OAuth client</w:t>
      </w:r>
    </w:p>
    <w:p>
      <w:pPr>
        <w:pStyle w:val="ListNumber"/>
        <w:spacing w:after="80"/>
      </w:pPr>
      <w:r>
        <w:t>Open Google Cloud Console and select the exact project that issued the old client.</w:t>
      </w:r>
    </w:p>
    <w:p>
      <w:pPr>
        <w:pStyle w:val="ListNumber"/>
        <w:spacing w:after="80"/>
      </w:pPr>
      <w:r>
        <w:t>Go to APIs &amp; Services → Credentials.</w:t>
      </w:r>
    </w:p>
    <w:p>
      <w:pPr>
        <w:pStyle w:val="ListNumber"/>
        <w:spacing w:after="80"/>
      </w:pPr>
      <w:r>
        <w:t>Identify the OAuth 2.0 Client ID whose client ID matches the old development configuration.</w:t>
      </w:r>
    </w:p>
    <w:p>
      <w:pPr>
        <w:pStyle w:val="ListNumber"/>
        <w:spacing w:after="80"/>
      </w:pPr>
      <w:r>
        <w:t>Delete it, or create a replacement and then delete the old client. Do not merely rename it.</w:t>
      </w:r>
    </w:p>
    <w:p>
      <w:pPr>
        <w:pStyle w:val="ListNumber"/>
        <w:spacing w:after="80"/>
      </w:pPr>
      <w:r>
        <w:t>Create a fresh Desktop app OAuth client only when needed for the signed application.</w:t>
      </w:r>
    </w:p>
    <w:p>
      <w:pPr>
        <w:pStyle w:val="ListNumber"/>
        <w:spacing w:after="80"/>
      </w:pPr>
      <w:r>
        <w:t>Download the replacement JSON to a secure, untracked location. Never place it under backend/data or another repository path.</w:t>
      </w:r>
    </w:p>
    <w:p>
      <w:pPr>
        <w:pStyle w:val="ListNumber"/>
        <w:spacing w:after="80"/>
      </w:pPr>
      <w:r>
        <w:t>Review OAuth consent-screen test users, scopes, branding, support email, and publishing status.</w:t>
      </w:r>
    </w:p>
    <w:p>
      <w:pPr>
        <w:spacing w:after="80"/>
        <w:ind w:left="173" w:hanging="29"/>
      </w:pPr>
      <w:r>
        <w:rPr>
          <w:rFonts w:ascii="Arial Unicode MS" w:hAnsi="Arial Unicode MS"/>
        </w:rPr>
        <w:t xml:space="preserve">☐ </w:t>
      </w:r>
      <w:r>
        <w:t>Old user token revoked.</w:t>
      </w:r>
    </w:p>
    <w:p>
      <w:pPr>
        <w:spacing w:after="80"/>
        <w:ind w:left="173" w:hanging="29"/>
      </w:pPr>
      <w:r>
        <w:rPr>
          <w:rFonts w:ascii="Arial Unicode MS" w:hAnsi="Arial Unicode MS"/>
        </w:rPr>
        <w:t xml:space="preserve">☐ </w:t>
      </w:r>
      <w:r>
        <w:t>Old OAuth client deleted or rotated.</w:t>
      </w:r>
    </w:p>
    <w:p>
      <w:pPr>
        <w:spacing w:after="80"/>
        <w:ind w:left="173" w:hanging="29"/>
      </w:pPr>
      <w:r>
        <w:rPr>
          <w:rFonts w:ascii="Arial Unicode MS" w:hAnsi="Arial Unicode MS"/>
        </w:rPr>
        <w:t xml:space="preserve">☐ </w:t>
      </w:r>
      <w:r>
        <w:t>Replacement stored outside the repository.</w:t>
      </w:r>
    </w:p>
    <w:p>
      <w:pPr>
        <w:spacing w:after="100"/>
      </w:pPr>
      <w:r>
        <w:rPr>
          <w:b/>
        </w:rPr>
        <w:t xml:space="preserve">Google Cloud project ID (not secret): </w:t>
      </w:r>
      <w:r>
        <w:t>__________________________________________________________________</w:t>
      </w:r>
    </w:p>
    <w:p>
      <w:pPr>
        <w:spacing w:after="100"/>
      </w:pPr>
      <w:r>
        <w:rPr>
          <w:b/>
        </w:rPr>
        <w:t xml:space="preserve">Completed by / date: </w:t>
      </w:r>
      <w:r>
        <w:t>__________________________________________________________________</w:t>
      </w:r>
    </w:p>
    <w:p>
      <w:pPr>
        <w:pStyle w:val="Heading1"/>
      </w:pPr>
      <w:r>
        <w:t>3. Establish domain, email, and business identity</w:t>
      </w:r>
    </w:p>
    <w:p>
      <w:pPr>
        <w:pStyle w:val="Heading2"/>
      </w:pPr>
      <w:r>
        <w:t>3.1 Domain ownership and DNS</w:t>
      </w:r>
    </w:p>
    <w:p>
      <w:pPr>
        <w:pStyle w:val="ListNumber"/>
        <w:spacing w:after="80"/>
      </w:pPr>
      <w:r>
        <w:t>Register or confirm control of godfin.dev in the business owner’s account. Enable registrar lock, two-factor authentication, and renewal reminders.</w:t>
      </w:r>
    </w:p>
    <w:p>
      <w:pPr>
        <w:pStyle w:val="ListNumber"/>
        <w:spacing w:after="80"/>
      </w:pPr>
      <w:r>
        <w:t>Record the registrar, renewal date, and recovery contact below.</w:t>
      </w:r>
    </w:p>
    <w:p>
      <w:pPr>
        <w:pStyle w:val="ListNumber"/>
        <w:spacing w:after="80"/>
      </w:pPr>
      <w:r>
        <w:t>Decide where authoritative DNS will live. If Cloudflare will serve the R2 update domain, moving DNS there is usually the simplest choice.</w:t>
      </w:r>
    </w:p>
    <w:p>
      <w:pPr>
        <w:pStyle w:val="ListNumber"/>
        <w:spacing w:after="80"/>
      </w:pPr>
      <w:r>
        <w:t>Do not add guessed records. Add only the verification and routing records supplied by Vercel, Resend, and Cloudflare.</w:t>
      </w:r>
    </w:p>
    <w:p>
      <w:pPr>
        <w:pStyle w:val="ListNumber"/>
        <w:spacing w:after="80"/>
      </w:pPr>
      <w:r>
        <w:t>After the website is connected, verify the apex domain, www redirect, HTTPS, sitemap.xml, robots.txt, security headers, and a deliberate 404 page.</w:t>
      </w:r>
    </w:p>
    <w:p>
      <w:pPr>
        <w:spacing w:after="100"/>
      </w:pPr>
      <w:r>
        <w:rPr>
          <w:b/>
        </w:rPr>
        <w:t xml:space="preserve">Registrar: </w:t>
      </w:r>
      <w:r>
        <w:t>__________________________________________________________________</w:t>
      </w:r>
    </w:p>
    <w:p>
      <w:pPr>
        <w:spacing w:after="100"/>
      </w:pPr>
      <w:r>
        <w:rPr>
          <w:b/>
        </w:rPr>
        <w:t xml:space="preserve">Renewal date: </w:t>
      </w:r>
      <w:r>
        <w:t>__________________________________________________________________</w:t>
      </w:r>
    </w:p>
    <w:p>
      <w:pPr>
        <w:spacing w:after="100"/>
      </w:pPr>
      <w:r>
        <w:rPr>
          <w:b/>
        </w:rPr>
        <w:t xml:space="preserve">DNS provider: </w:t>
      </w:r>
      <w:r>
        <w:t>__________________________________________________________________</w:t>
      </w:r>
    </w:p>
    <w:p>
      <w:pPr>
        <w:spacing w:after="100"/>
      </w:pPr>
      <w:r>
        <w:rPr>
          <w:b/>
        </w:rPr>
        <w:t xml:space="preserve">Recovery email: </w:t>
      </w:r>
      <w:r>
        <w:t>__________________________________________________________________</w:t>
      </w:r>
    </w:p>
    <w:p>
      <w:pPr>
        <w:pStyle w:val="Heading2"/>
      </w:pPr>
      <w:r>
        <w:t>3.2 Operational email addresses</w:t>
      </w:r>
    </w:p>
    <w:p>
      <w:pPr>
        <w:pStyle w:val="ListBullet"/>
        <w:spacing w:after="80"/>
      </w:pPr>
      <w:r>
        <w:t>support@godfin.dev — customer help, installation, licensing, and refunds.</w:t>
      </w:r>
    </w:p>
    <w:p>
      <w:pPr>
        <w:pStyle w:val="ListBullet"/>
        <w:spacing w:after="80"/>
      </w:pPr>
      <w:r>
        <w:t>privacy@godfin.dev — privacy requests and deletion requests.</w:t>
      </w:r>
    </w:p>
    <w:p>
      <w:pPr>
        <w:pStyle w:val="ListBullet"/>
        <w:spacing w:after="80"/>
      </w:pPr>
      <w:r>
        <w:t>legal@godfin.dev — terms, commercial-use permission, and notices.</w:t>
      </w:r>
    </w:p>
    <w:p>
      <w:pPr>
        <w:pStyle w:val="ListBullet"/>
        <w:spacing w:after="80"/>
      </w:pPr>
      <w:r>
        <w:t>licenses@godfin.dev — automated license delivery through Resend.</w:t>
      </w:r>
    </w:p>
    <w:p>
      <w:pPr>
        <w:pStyle w:val="ListBullet"/>
        <w:spacing w:after="80"/>
      </w:pPr>
      <w:r>
        <w:t>security@godfin.dev — responsible security disclosures.</w:t>
      </w:r>
    </w:p>
    <w:p>
      <w:pPr>
        <w:spacing w:after="80"/>
        <w:ind w:left="173" w:hanging="29"/>
      </w:pPr>
      <w:r>
        <w:rPr>
          <w:rFonts w:ascii="Arial Unicode MS" w:hAnsi="Arial Unicode MS"/>
        </w:rPr>
        <w:t xml:space="preserve">☐ </w:t>
      </w:r>
      <w:r>
        <w:t>Each address or alias receives mail in a monitored inbox.</w:t>
      </w:r>
    </w:p>
    <w:p>
      <w:pPr>
        <w:spacing w:after="80"/>
        <w:ind w:left="173" w:hanging="29"/>
      </w:pPr>
      <w:r>
        <w:rPr>
          <w:rFonts w:ascii="Arial Unicode MS" w:hAnsi="Arial Unicode MS"/>
        </w:rPr>
        <w:t xml:space="preserve">☐ </w:t>
      </w:r>
      <w:r>
        <w:t>Each address can send or reply using the domain without failing SPF/DKIM/DMARC.</w:t>
      </w:r>
    </w:p>
    <w:p>
      <w:pPr>
        <w:spacing w:after="80"/>
        <w:ind w:left="173" w:hanging="29"/>
      </w:pPr>
      <w:r>
        <w:rPr>
          <w:rFonts w:ascii="Arial Unicode MS" w:hAnsi="Arial Unicode MS"/>
        </w:rPr>
        <w:t xml:space="preserve">☐ </w:t>
      </w:r>
      <w:r>
        <w:t>A named person owns daily monitoring and a backup person is assigned.</w:t>
      </w:r>
    </w:p>
    <w:p>
      <w:pPr>
        <w:pStyle w:val="Heading2"/>
      </w:pPr>
      <w:r>
        <w:t>3.3 Seller, tax, and support facts</w:t>
      </w:r>
    </w:p>
    <w:p>
      <w:pPr>
        <w:spacing w:after="100"/>
      </w:pPr>
      <w:r>
        <w:rPr>
          <w:b/>
        </w:rPr>
        <w:t xml:space="preserve">Legal seller name: </w:t>
      </w:r>
      <w:r>
        <w:t>__________________________________________________________________</w:t>
      </w:r>
    </w:p>
    <w:p>
      <w:pPr>
        <w:spacing w:after="100"/>
      </w:pPr>
      <w:r>
        <w:rPr>
          <w:b/>
        </w:rPr>
        <w:t xml:space="preserve">Entity type: </w:t>
      </w:r>
      <w:r>
        <w:t>__________________________________________________________________</w:t>
      </w:r>
    </w:p>
    <w:p>
      <w:pPr>
        <w:spacing w:after="100"/>
      </w:pPr>
      <w:r>
        <w:rPr>
          <w:b/>
        </w:rPr>
        <w:t xml:space="preserve">Registered/business address: </w:t>
      </w:r>
      <w:r>
        <w:t>__________________________________________________________________</w:t>
      </w:r>
    </w:p>
    <w:p>
      <w:pPr>
        <w:spacing w:after="100"/>
      </w:pPr>
      <w:r>
        <w:rPr>
          <w:b/>
        </w:rPr>
        <w:t xml:space="preserve">GST registration status and GSTIN, if applicable: </w:t>
      </w:r>
      <w:r>
        <w:t>__________________________________________________________________</w:t>
      </w:r>
    </w:p>
    <w:p>
      <w:pPr>
        <w:spacing w:after="100"/>
      </w:pPr>
      <w:r>
        <w:rPr>
          <w:b/>
        </w:rPr>
        <w:t xml:space="preserve">Invoice issuer: </w:t>
      </w:r>
      <w:r>
        <w:t>__________________________________________________________________</w:t>
      </w:r>
    </w:p>
    <w:p>
      <w:pPr>
        <w:spacing w:after="100"/>
      </w:pPr>
      <w:r>
        <w:rPr>
          <w:b/>
        </w:rPr>
        <w:t xml:space="preserve">Customer support owner: </w:t>
      </w:r>
      <w:r>
        <w:t>__________________________________________________________________</w:t>
      </w:r>
    </w:p>
    <w:p>
      <w:pPr>
        <w:spacing w:after="100"/>
      </w:pPr>
      <w:r>
        <w:rPr>
          <w:b/>
        </w:rPr>
        <w:t xml:space="preserve">Target first-response time: </w:t>
      </w:r>
      <w:r>
        <w:t>__________________________________________________________________</w:t>
      </w:r>
    </w:p>
    <w:p>
      <w:pPr>
        <w:spacing w:after="100"/>
      </w:pPr>
      <w:r>
        <w:rPr>
          <w:b/>
        </w:rPr>
        <w:t xml:space="preserve">Refund window and exceptions: </w:t>
      </w:r>
      <w:r>
        <w:t>__________________________________________________________________</w:t>
      </w:r>
    </w:p>
    <w:p>
      <w:pPr>
        <w:spacing w:after="100"/>
      </w:pPr>
      <w:r>
        <w:rPr>
          <w:b/>
        </w:rPr>
        <w:t xml:space="preserve">Governing law / jurisdiction (after counsel review): </w:t>
      </w:r>
      <w:r>
        <w:t>__________________________________________________________________</w:t>
      </w:r>
    </w:p>
    <w:p>
      <w:pPr>
        <w:pStyle w:val="Heading1"/>
      </w:pPr>
      <w:r>
        <w:t>4. Complete legal and policy review</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FF4CE"/>
            <w:tcBorders>
              <w:left w:val="single" w:sz="18" w:color="D6A400"/>
            </w:tcBorders>
          </w:tcPr>
          <w:p>
            <w:pPr>
              <w:spacing w:after="80"/>
            </w:pPr>
            <w:r>
              <w:rPr>
                <w:b/>
                <w:color w:val="1F4D78"/>
              </w:rPr>
              <w:t>Professional review required</w:t>
            </w:r>
          </w:p>
          <w:p>
            <w:pPr>
              <w:spacing w:after="0"/>
            </w:pPr>
            <w:r>
              <w:t>This checklist is operational guidance, not legal or tax advice. Have qualified Indian counsel and a tax professional review the public terms, privacy notice, refund wording, invoices, GST treatment, export of services if applicable, and lifetime-license claims.</w:t>
            </w:r>
          </w:p>
        </w:tc>
      </w:tr>
    </w:tbl>
    <w:p>
      <w:pPr>
        <w:pStyle w:val="ListNumber"/>
        <w:spacing w:after="80"/>
      </w:pPr>
      <w:r>
        <w:t>Replace placeholder-like wording in the privacy page and confirm privacy@godfin.dev is operational.</w:t>
      </w:r>
    </w:p>
    <w:p>
      <w:pPr>
        <w:pStyle w:val="ListNumber"/>
        <w:spacing w:after="80"/>
      </w:pPr>
      <w:r>
        <w:t>Make the seller name, business address, contact details, and effective dates consistent across pricing, checkout, invoice, privacy, and terms pages.</w:t>
      </w:r>
    </w:p>
    <w:p>
      <w:pPr>
        <w:pStyle w:val="ListNumber"/>
        <w:spacing w:after="80"/>
      </w:pPr>
      <w:r>
        <w:t>Define ‘lifetime’ precisely: lifetime of the licensed major version, the product, the business, or another measurable period.</w:t>
      </w:r>
    </w:p>
    <w:p>
      <w:pPr>
        <w:pStyle w:val="ListNumber"/>
        <w:spacing w:after="80"/>
      </w:pPr>
      <w:r>
        <w:t>State the supported operating systems, minimum versions, HDFC-only parser scope at launch, local-data boundary, optional website data, and availability limits for online verification.</w:t>
      </w:r>
    </w:p>
    <w:p>
      <w:pPr>
        <w:pStyle w:val="ListNumber"/>
        <w:spacing w:after="80"/>
      </w:pPr>
      <w:r>
        <w:t>Explain device count, offline grace, transfer/deactivation, lost-key recovery, refunds, chargebacks, taxes, and termination.</w:t>
      </w:r>
    </w:p>
    <w:p>
      <w:pPr>
        <w:pStyle w:val="ListNumber"/>
        <w:spacing w:after="80"/>
      </w:pPr>
      <w:r>
        <w:t>Describe Supabase, Stripe, Resend, Vercel, analytics if enabled, retention periods, international transfers, deletion workflow, and data-subject contact route.</w:t>
      </w:r>
    </w:p>
    <w:p>
      <w:pPr>
        <w:pStyle w:val="ListNumber"/>
        <w:spacing w:after="80"/>
      </w:pPr>
      <w:r>
        <w:t>Confirm PolyForm Noncommercial 1.0.0: personal/noncommercial use is allowed; commercial use and forks require written approval. Ensure website copy does not imply AGPL.</w:t>
      </w:r>
    </w:p>
    <w:p>
      <w:pPr>
        <w:pStyle w:val="ListNumber"/>
        <w:spacing w:after="80"/>
      </w:pPr>
      <w:r>
        <w:t>Obtain written approval from counsel and tax adviser. Archive dated PDF copies of approved policies.</w:t>
      </w:r>
    </w:p>
    <w:p>
      <w:pPr>
        <w:spacing w:after="80"/>
        <w:ind w:left="173" w:hanging="29"/>
      </w:pPr>
      <w:r>
        <w:rPr>
          <w:rFonts w:ascii="Arial Unicode MS" w:hAnsi="Arial Unicode MS"/>
        </w:rPr>
        <w:t xml:space="preserve">☐ </w:t>
      </w:r>
      <w:r>
        <w:t>Legal review completed.</w:t>
      </w:r>
    </w:p>
    <w:p>
      <w:pPr>
        <w:spacing w:after="80"/>
        <w:ind w:left="173" w:hanging="29"/>
      </w:pPr>
      <w:r>
        <w:rPr>
          <w:rFonts w:ascii="Arial Unicode MS" w:hAnsi="Arial Unicode MS"/>
        </w:rPr>
        <w:t xml:space="preserve">☐ </w:t>
      </w:r>
      <w:r>
        <w:t>Tax/GST review completed.</w:t>
      </w:r>
    </w:p>
    <w:p>
      <w:pPr>
        <w:spacing w:after="80"/>
        <w:ind w:left="173" w:hanging="29"/>
      </w:pPr>
      <w:r>
        <w:rPr>
          <w:rFonts w:ascii="Arial Unicode MS" w:hAnsi="Arial Unicode MS"/>
        </w:rPr>
        <w:t xml:space="preserve">☐ </w:t>
      </w:r>
      <w:r>
        <w:t>Approved policy versions archived.</w:t>
      </w:r>
    </w:p>
    <w:p>
      <w:pPr>
        <w:spacing w:after="100"/>
      </w:pPr>
      <w:r>
        <w:rPr>
          <w:b/>
        </w:rPr>
        <w:t xml:space="preserve">Counsel / reviewer: </w:t>
      </w:r>
      <w:r>
        <w:t>__________________________________________________________________</w:t>
      </w:r>
    </w:p>
    <w:p>
      <w:pPr>
        <w:spacing w:after="100"/>
      </w:pPr>
      <w:r>
        <w:rPr>
          <w:b/>
        </w:rPr>
        <w:t xml:space="preserve">Approval date: </w:t>
      </w:r>
      <w:r>
        <w:t>__________________________________________________________________</w:t>
      </w:r>
    </w:p>
    <w:p>
      <w:pPr>
        <w:pStyle w:val="Heading1"/>
      </w:pPr>
      <w:r>
        <w:t>5. Configure Stripe India for one-time payments</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FF4CE"/>
            <w:tcBorders>
              <w:left w:val="single" w:sz="18" w:color="D6A400"/>
            </w:tcBorders>
          </w:tcPr>
          <w:p>
            <w:pPr>
              <w:spacing w:after="80"/>
            </w:pPr>
            <w:r>
              <w:rPr>
                <w:b/>
                <w:color w:val="1F4D78"/>
              </w:rPr>
              <w:t>Hard rule</w:t>
            </w:r>
          </w:p>
          <w:p>
            <w:pPr>
              <w:spacing w:after="0"/>
            </w:pPr>
            <w:r>
              <w:t>Create one-time INR prices only. Do not create recurring prices, trials, metered billing, or subscription Checkout sessions. Do not enable paid products until Section 1’s scope decision is reflected in the website.</w:t>
            </w:r>
          </w:p>
        </w:tc>
      </w:tr>
    </w:tbl>
    <w:p>
      <w:pPr>
        <w:pStyle w:val="Heading2"/>
      </w:pPr>
      <w:r>
        <w:t>5.1 Account and compliance</w:t>
      </w:r>
    </w:p>
    <w:p>
      <w:pPr>
        <w:pStyle w:val="ListNumber"/>
        <w:spacing w:after="80"/>
      </w:pPr>
      <w:r>
        <w:t>Create or use a Stripe account owned by the legal seller, not a disposable personal test account.</w:t>
      </w:r>
    </w:p>
    <w:p>
      <w:pPr>
        <w:pStyle w:val="ListNumber"/>
        <w:spacing w:after="80"/>
      </w:pPr>
      <w:r>
        <w:t>Complete India account activation, identity/KYC, bank verification, business details, statement descriptor, support contact, tax settings, and two-factor authentication.</w:t>
      </w:r>
    </w:p>
    <w:p>
      <w:pPr>
        <w:pStyle w:val="ListNumber"/>
        <w:spacing w:after="80"/>
      </w:pPr>
      <w:r>
        <w:t>Invite a backup administrator with the minimum needed role. Never share one login.</w:t>
      </w:r>
    </w:p>
    <w:p>
      <w:pPr>
        <w:pStyle w:val="ListNumber"/>
        <w:spacing w:after="80"/>
      </w:pPr>
      <w:r>
        <w:t>Configure refund, dispute, fraud, email-receipt, and payout notifications.</w:t>
      </w:r>
    </w:p>
    <w:p>
      <w:pPr>
        <w:pStyle w:val="ListNumber"/>
        <w:spacing w:after="80"/>
      </w:pPr>
      <w:r>
        <w:t>Confirm that the account can accept domestic one-time INR payments for software licenses and issue compliant invoices/receipts for your business situation.</w:t>
      </w:r>
    </w:p>
    <w:p>
      <w:pPr>
        <w:pStyle w:val="Heading2"/>
      </w:pPr>
      <w:r>
        <w:t>5.2 Products and exact prices</w:t>
      </w:r>
    </w:p>
    <w:p>
      <w:r>
        <w:t>Create only the rows permitted by your approved launch scope. Amounts below are the values currently expected by the website’s server-side catalog.</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1740"/>
            <w:shd w:fill="E8EEF5"/>
            <w:tcMar>
              <w:top w:w="80" w:type="dxa"/>
              <w:start w:w="120" w:type="dxa"/>
              <w:bottom w:w="80" w:type="dxa"/>
              <w:end w:w="120" w:type="dxa"/>
            </w:tcMar>
            <w:vAlign w:val="center"/>
          </w:tcPr>
          <w:p>
            <w:r>
              <w:rPr>
                <w:b/>
              </w:rPr>
              <w:t>Code</w:t>
            </w:r>
          </w:p>
        </w:tc>
        <w:tc>
          <w:tcPr>
            <w:tcW w:type="dxa" w:w="2580"/>
            <w:shd w:fill="E8EEF5"/>
            <w:tcMar>
              <w:top w:w="80" w:type="dxa"/>
              <w:start w:w="120" w:type="dxa"/>
              <w:bottom w:w="80" w:type="dxa"/>
              <w:end w:w="120" w:type="dxa"/>
            </w:tcMar>
            <w:vAlign w:val="center"/>
          </w:tcPr>
          <w:p>
            <w:r>
              <w:rPr>
                <w:b/>
              </w:rPr>
              <w:t>Public name</w:t>
            </w:r>
          </w:p>
        </w:tc>
        <w:tc>
          <w:tcPr>
            <w:tcW w:type="dxa" w:w="1560"/>
            <w:shd w:fill="E8EEF5"/>
            <w:tcMar>
              <w:top w:w="80" w:type="dxa"/>
              <w:start w:w="120" w:type="dxa"/>
              <w:bottom w:w="80" w:type="dxa"/>
              <w:end w:w="120" w:type="dxa"/>
            </w:tcMar>
            <w:vAlign w:val="center"/>
          </w:tcPr>
          <w:p>
            <w:r>
              <w:rPr>
                <w:b/>
              </w:rPr>
              <w:t>INR price</w:t>
            </w:r>
          </w:p>
        </w:tc>
        <w:tc>
          <w:tcPr>
            <w:tcW w:type="dxa" w:w="3480"/>
            <w:shd w:fill="E8EEF5"/>
            <w:tcMar>
              <w:top w:w="80" w:type="dxa"/>
              <w:start w:w="120" w:type="dxa"/>
              <w:bottom w:w="80" w:type="dxa"/>
              <w:end w:w="120" w:type="dxa"/>
            </w:tcMar>
            <w:vAlign w:val="center"/>
          </w:tcPr>
          <w:p>
            <w:r>
              <w:rPr>
                <w:b/>
              </w:rPr>
              <w:t>Create now?</w:t>
            </w:r>
          </w:p>
        </w:tc>
      </w:tr>
      <w:tr>
        <w:tc>
          <w:tcPr>
            <w:tcW w:type="dxa" w:w="1740"/>
            <w:tcMar>
              <w:top w:w="80" w:type="dxa"/>
              <w:start w:w="120" w:type="dxa"/>
              <w:bottom w:w="80" w:type="dxa"/>
              <w:end w:w="120" w:type="dxa"/>
            </w:tcMar>
            <w:vAlign w:val="center"/>
          </w:tcPr>
          <w:p>
            <w:r>
              <w:t>pro</w:t>
            </w:r>
          </w:p>
        </w:tc>
        <w:tc>
          <w:tcPr>
            <w:tcW w:type="dxa" w:w="2580"/>
            <w:tcMar>
              <w:top w:w="80" w:type="dxa"/>
              <w:start w:w="120" w:type="dxa"/>
              <w:bottom w:w="80" w:type="dxa"/>
              <w:end w:w="120" w:type="dxa"/>
            </w:tcMar>
            <w:vAlign w:val="center"/>
          </w:tcPr>
          <w:p>
            <w:r>
              <w:t>Pro lifetime</w:t>
            </w:r>
          </w:p>
        </w:tc>
        <w:tc>
          <w:tcPr>
            <w:tcW w:type="dxa" w:w="1560"/>
            <w:tcMar>
              <w:top w:w="80" w:type="dxa"/>
              <w:start w:w="120" w:type="dxa"/>
              <w:bottom w:w="80" w:type="dxa"/>
              <w:end w:w="120" w:type="dxa"/>
            </w:tcMar>
            <w:vAlign w:val="center"/>
          </w:tcPr>
          <w:p>
            <w:r>
              <w:t>₹4,999</w:t>
            </w:r>
          </w:p>
        </w:tc>
        <w:tc>
          <w:tcPr>
            <w:tcW w:type="dxa" w:w="3480"/>
            <w:tcMar>
              <w:top w:w="80" w:type="dxa"/>
              <w:start w:w="120" w:type="dxa"/>
              <w:bottom w:w="80" w:type="dxa"/>
              <w:end w:w="120" w:type="dxa"/>
            </w:tcMar>
            <w:vAlign w:val="center"/>
          </w:tcPr>
          <w:p>
            <w:r>
              <w:t>Only after Pro scope is approved</w:t>
            </w:r>
          </w:p>
        </w:tc>
      </w:tr>
      <w:tr>
        <w:tc>
          <w:tcPr>
            <w:tcW w:type="dxa" w:w="1740"/>
            <w:tcMar>
              <w:top w:w="80" w:type="dxa"/>
              <w:start w:w="120" w:type="dxa"/>
              <w:bottom w:w="80" w:type="dxa"/>
              <w:end w:w="120" w:type="dxa"/>
            </w:tcMar>
            <w:vAlign w:val="center"/>
          </w:tcPr>
          <w:p>
            <w:r>
              <w:t>max</w:t>
            </w:r>
          </w:p>
        </w:tc>
        <w:tc>
          <w:tcPr>
            <w:tcW w:type="dxa" w:w="2580"/>
            <w:tcMar>
              <w:top w:w="80" w:type="dxa"/>
              <w:start w:w="120" w:type="dxa"/>
              <w:bottom w:w="80" w:type="dxa"/>
              <w:end w:w="120" w:type="dxa"/>
            </w:tcMar>
            <w:vAlign w:val="center"/>
          </w:tcPr>
          <w:p>
            <w:r>
              <w:t>Max lifetime</w:t>
            </w:r>
          </w:p>
        </w:tc>
        <w:tc>
          <w:tcPr>
            <w:tcW w:type="dxa" w:w="1560"/>
            <w:tcMar>
              <w:top w:w="80" w:type="dxa"/>
              <w:start w:w="120" w:type="dxa"/>
              <w:bottom w:w="80" w:type="dxa"/>
              <w:end w:w="120" w:type="dxa"/>
            </w:tcMar>
            <w:vAlign w:val="center"/>
          </w:tcPr>
          <w:p>
            <w:r>
              <w:t>₹9,999</w:t>
            </w:r>
          </w:p>
        </w:tc>
        <w:tc>
          <w:tcPr>
            <w:tcW w:type="dxa" w:w="3480"/>
            <w:tcMar>
              <w:top w:w="80" w:type="dxa"/>
              <w:start w:w="120" w:type="dxa"/>
              <w:bottom w:w="80" w:type="dxa"/>
              <w:end w:w="120" w:type="dxa"/>
            </w:tcMar>
            <w:vAlign w:val="center"/>
          </w:tcPr>
          <w:p>
            <w:r>
              <w:t>No, unless every Max claim ships</w:t>
            </w:r>
          </w:p>
        </w:tc>
      </w:tr>
      <w:tr>
        <w:tc>
          <w:tcPr>
            <w:tcW w:type="dxa" w:w="1740"/>
            <w:tcMar>
              <w:top w:w="80" w:type="dxa"/>
              <w:start w:w="120" w:type="dxa"/>
              <w:bottom w:w="80" w:type="dxa"/>
              <w:end w:w="120" w:type="dxa"/>
            </w:tcMar>
            <w:vAlign w:val="center"/>
          </w:tcPr>
          <w:p>
            <w:r>
              <w:t>credits_starter</w:t>
            </w:r>
          </w:p>
        </w:tc>
        <w:tc>
          <w:tcPr>
            <w:tcW w:type="dxa" w:w="2580"/>
            <w:tcMar>
              <w:top w:w="80" w:type="dxa"/>
              <w:start w:w="120" w:type="dxa"/>
              <w:bottom w:w="80" w:type="dxa"/>
              <w:end w:w="120" w:type="dxa"/>
            </w:tcMar>
            <w:vAlign w:val="center"/>
          </w:tcPr>
          <w:p>
            <w:r>
              <w:t>500 AI credits</w:t>
            </w:r>
          </w:p>
        </w:tc>
        <w:tc>
          <w:tcPr>
            <w:tcW w:type="dxa" w:w="1560"/>
            <w:tcMar>
              <w:top w:w="80" w:type="dxa"/>
              <w:start w:w="120" w:type="dxa"/>
              <w:bottom w:w="80" w:type="dxa"/>
              <w:end w:w="120" w:type="dxa"/>
            </w:tcMar>
            <w:vAlign w:val="center"/>
          </w:tcPr>
          <w:p>
            <w:r>
              <w:t>₹249</w:t>
            </w:r>
          </w:p>
        </w:tc>
        <w:tc>
          <w:tcPr>
            <w:tcW w:type="dxa" w:w="3480"/>
            <w:tcMar>
              <w:top w:w="80" w:type="dxa"/>
              <w:start w:w="120" w:type="dxa"/>
              <w:bottom w:w="80" w:type="dxa"/>
              <w:end w:w="120" w:type="dxa"/>
            </w:tcMar>
            <w:vAlign w:val="center"/>
          </w:tcPr>
          <w:p>
            <w:r>
              <w:t>No, until credit consumption ships</w:t>
            </w:r>
          </w:p>
        </w:tc>
      </w:tr>
      <w:tr>
        <w:tc>
          <w:tcPr>
            <w:tcW w:type="dxa" w:w="1740"/>
            <w:tcMar>
              <w:top w:w="80" w:type="dxa"/>
              <w:start w:w="120" w:type="dxa"/>
              <w:bottom w:w="80" w:type="dxa"/>
              <w:end w:w="120" w:type="dxa"/>
            </w:tcMar>
            <w:vAlign w:val="center"/>
          </w:tcPr>
          <w:p>
            <w:r>
              <w:t>credits_regular</w:t>
            </w:r>
          </w:p>
        </w:tc>
        <w:tc>
          <w:tcPr>
            <w:tcW w:type="dxa" w:w="2580"/>
            <w:tcMar>
              <w:top w:w="80" w:type="dxa"/>
              <w:start w:w="120" w:type="dxa"/>
              <w:bottom w:w="80" w:type="dxa"/>
              <w:end w:w="120" w:type="dxa"/>
            </w:tcMar>
            <w:vAlign w:val="center"/>
          </w:tcPr>
          <w:p>
            <w:r>
              <w:t>1,200 AI credits</w:t>
            </w:r>
          </w:p>
        </w:tc>
        <w:tc>
          <w:tcPr>
            <w:tcW w:type="dxa" w:w="1560"/>
            <w:tcMar>
              <w:top w:w="80" w:type="dxa"/>
              <w:start w:w="120" w:type="dxa"/>
              <w:bottom w:w="80" w:type="dxa"/>
              <w:end w:w="120" w:type="dxa"/>
            </w:tcMar>
            <w:vAlign w:val="center"/>
          </w:tcPr>
          <w:p>
            <w:r>
              <w:t>₹499</w:t>
            </w:r>
          </w:p>
        </w:tc>
        <w:tc>
          <w:tcPr>
            <w:tcW w:type="dxa" w:w="3480"/>
            <w:tcMar>
              <w:top w:w="80" w:type="dxa"/>
              <w:start w:w="120" w:type="dxa"/>
              <w:bottom w:w="80" w:type="dxa"/>
              <w:end w:w="120" w:type="dxa"/>
            </w:tcMar>
            <w:vAlign w:val="center"/>
          </w:tcPr>
          <w:p>
            <w:r>
              <w:t>No, until credit consumption ships</w:t>
            </w:r>
          </w:p>
        </w:tc>
      </w:tr>
      <w:tr>
        <w:tc>
          <w:tcPr>
            <w:tcW w:type="dxa" w:w="1740"/>
            <w:tcMar>
              <w:top w:w="80" w:type="dxa"/>
              <w:start w:w="120" w:type="dxa"/>
              <w:bottom w:w="80" w:type="dxa"/>
              <w:end w:w="120" w:type="dxa"/>
            </w:tcMar>
            <w:vAlign w:val="center"/>
          </w:tcPr>
          <w:p>
            <w:r>
              <w:t>credits_power</w:t>
            </w:r>
          </w:p>
        </w:tc>
        <w:tc>
          <w:tcPr>
            <w:tcW w:type="dxa" w:w="2580"/>
            <w:tcMar>
              <w:top w:w="80" w:type="dxa"/>
              <w:start w:w="120" w:type="dxa"/>
              <w:bottom w:w="80" w:type="dxa"/>
              <w:end w:w="120" w:type="dxa"/>
            </w:tcMar>
            <w:vAlign w:val="center"/>
          </w:tcPr>
          <w:p>
            <w:r>
              <w:t>3,000 AI credits</w:t>
            </w:r>
          </w:p>
        </w:tc>
        <w:tc>
          <w:tcPr>
            <w:tcW w:type="dxa" w:w="1560"/>
            <w:tcMar>
              <w:top w:w="80" w:type="dxa"/>
              <w:start w:w="120" w:type="dxa"/>
              <w:bottom w:w="80" w:type="dxa"/>
              <w:end w:w="120" w:type="dxa"/>
            </w:tcMar>
            <w:vAlign w:val="center"/>
          </w:tcPr>
          <w:p>
            <w:r>
              <w:t>₹999</w:t>
            </w:r>
          </w:p>
        </w:tc>
        <w:tc>
          <w:tcPr>
            <w:tcW w:type="dxa" w:w="3480"/>
            <w:tcMar>
              <w:top w:w="80" w:type="dxa"/>
              <w:start w:w="120" w:type="dxa"/>
              <w:bottom w:w="80" w:type="dxa"/>
              <w:end w:w="120" w:type="dxa"/>
            </w:tcMar>
            <w:vAlign w:val="center"/>
          </w:tcPr>
          <w:p>
            <w:r>
              <w:t>No, until credit consumption ships</w:t>
            </w:r>
          </w:p>
        </w:tc>
      </w:tr>
    </w:tbl>
    <w:p>
      <w:pPr>
        <w:pStyle w:val="ListNumber"/>
        <w:spacing w:after="80"/>
      </w:pPr>
      <w:r>
        <w:t>For each approved product, create one Product and one one-time Price in INR.</w:t>
      </w:r>
    </w:p>
    <w:p>
      <w:pPr>
        <w:pStyle w:val="ListNumber"/>
        <w:spacing w:after="80"/>
      </w:pPr>
      <w:r>
        <w:t>Copy the Price ID—not the Product ID—directly into the corresponding secure Vercel environment field.</w:t>
      </w:r>
    </w:p>
    <w:p>
      <w:pPr>
        <w:pStyle w:val="ListNumber"/>
        <w:spacing w:after="80"/>
      </w:pPr>
      <w:r>
        <w:t>Keep test-mode and live-mode IDs separate. Never reuse test IDs in production.</w:t>
      </w:r>
    </w:p>
    <w:p>
      <w:pPr>
        <w:pStyle w:val="ListNumber"/>
        <w:spacing w:after="80"/>
      </w:pPr>
      <w:r>
        <w:t>Create the production webhook endpoint at /api/webhook only after the final production domain is known.</w:t>
      </w:r>
    </w:p>
    <w:p>
      <w:pPr>
        <w:pStyle w:val="ListNumber"/>
        <w:spacing w:after="80"/>
      </w:pPr>
      <w:r>
        <w:t>Subscribe only to checkout.session.completed and checkout.session.async_payment_succeeded.</w:t>
      </w:r>
    </w:p>
    <w:p>
      <w:pPr>
        <w:pStyle w:val="ListNumber"/>
        <w:spacing w:after="80"/>
      </w:pPr>
      <w:r>
        <w:t>Store the webhook signing secret only in Vercel’s encrypted environment configuration.</w:t>
      </w:r>
    </w:p>
    <w:p>
      <w:pPr>
        <w:pStyle w:val="Heading2"/>
      </w:pPr>
      <w:r>
        <w:t>5.3 Payment acceptance tests</w:t>
      </w:r>
    </w:p>
    <w:p>
      <w:pPr>
        <w:spacing w:after="80"/>
        <w:ind w:left="173" w:hanging="29"/>
      </w:pPr>
      <w:r>
        <w:rPr>
          <w:rFonts w:ascii="Arial Unicode MS" w:hAnsi="Arial Unicode MS"/>
        </w:rPr>
        <w:t xml:space="preserve">☐ </w:t>
      </w:r>
      <w:r>
        <w:t>Test mode: successful purchase creates exactly one purchase row and one license.</w:t>
      </w:r>
    </w:p>
    <w:p>
      <w:pPr>
        <w:spacing w:after="80"/>
        <w:ind w:left="173" w:hanging="29"/>
      </w:pPr>
      <w:r>
        <w:rPr>
          <w:rFonts w:ascii="Arial Unicode MS" w:hAnsi="Arial Unicode MS"/>
        </w:rPr>
        <w:t xml:space="preserve">☐ </w:t>
      </w:r>
      <w:r>
        <w:t>Webhook replay: the same event does not create a second license or second email.</w:t>
      </w:r>
    </w:p>
    <w:p>
      <w:pPr>
        <w:spacing w:after="80"/>
        <w:ind w:left="173" w:hanging="29"/>
      </w:pPr>
      <w:r>
        <w:rPr>
          <w:rFonts w:ascii="Arial Unicode MS" w:hAnsi="Arial Unicode MS"/>
        </w:rPr>
        <w:t xml:space="preserve">☐ </w:t>
      </w:r>
      <w:r>
        <w:t>Invalid webhook signature returns HTTP 400 and provisions nothing.</w:t>
      </w:r>
    </w:p>
    <w:p>
      <w:pPr>
        <w:spacing w:after="80"/>
        <w:ind w:left="173" w:hanging="29"/>
      </w:pPr>
      <w:r>
        <w:rPr>
          <w:rFonts w:ascii="Arial Unicode MS" w:hAnsi="Arial Unicode MS"/>
        </w:rPr>
        <w:t xml:space="preserve">☐ </w:t>
      </w:r>
      <w:r>
        <w:t>Cancelled checkout provisions nothing.</w:t>
      </w:r>
    </w:p>
    <w:p>
      <w:pPr>
        <w:spacing w:after="80"/>
        <w:ind w:left="173" w:hanging="29"/>
      </w:pPr>
      <w:r>
        <w:rPr>
          <w:rFonts w:ascii="Arial Unicode MS" w:hAnsi="Arial Unicode MS"/>
        </w:rPr>
        <w:t xml:space="preserve">☐ </w:t>
      </w:r>
      <w:r>
        <w:t>Async payment success provisions once.</w:t>
      </w:r>
    </w:p>
    <w:p>
      <w:pPr>
        <w:spacing w:after="80"/>
        <w:ind w:left="173" w:hanging="29"/>
      </w:pPr>
      <w:r>
        <w:rPr>
          <w:rFonts w:ascii="Arial Unicode MS" w:hAnsi="Arial Unicode MS"/>
        </w:rPr>
        <w:t xml:space="preserve">☐ </w:t>
      </w:r>
      <w:r>
        <w:t>Refund and dispute procedures are documented and tested with synthetic records.</w:t>
      </w:r>
    </w:p>
    <w:p>
      <w:pPr>
        <w:spacing w:after="80"/>
        <w:ind w:left="173" w:hanging="29"/>
      </w:pPr>
      <w:r>
        <w:rPr>
          <w:rFonts w:ascii="Arial Unicode MS" w:hAnsi="Arial Unicode MS"/>
        </w:rPr>
        <w:t xml:space="preserve">☐ </w:t>
      </w:r>
      <w:r>
        <w:t>If credit packs ship: purchase increments the balance exactly once.</w:t>
      </w:r>
    </w:p>
    <w:p>
      <w:pPr>
        <w:spacing w:after="80"/>
        <w:ind w:left="173" w:hanging="29"/>
      </w:pPr>
      <w:r>
        <w:rPr>
          <w:rFonts w:ascii="Arial Unicode MS" w:hAnsi="Arial Unicode MS"/>
        </w:rPr>
        <w:t xml:space="preserve">☐ </w:t>
      </w:r>
      <w:r>
        <w:t>Production: a low-value, controlled live transaction completes; records and email are verified; the temporary product is removed.</w:t>
      </w:r>
    </w:p>
    <w:p>
      <w:pPr>
        <w:pStyle w:val="Heading1"/>
      </w:pPr>
      <w:r>
        <w:t>6. Configure Resend and license delivery</w:t>
      </w:r>
    </w:p>
    <w:p>
      <w:pPr>
        <w:pStyle w:val="ListNumber"/>
        <w:spacing w:after="80"/>
      </w:pPr>
      <w:r>
        <w:t>Create the Resend account under the business owner and enable two-factor authentication.</w:t>
      </w:r>
    </w:p>
    <w:p>
      <w:pPr>
        <w:pStyle w:val="ListNumber"/>
        <w:spacing w:after="80"/>
      </w:pPr>
      <w:r>
        <w:t>Add godfin.dev as a sending domain.</w:t>
      </w:r>
    </w:p>
    <w:p>
      <w:pPr>
        <w:pStyle w:val="ListNumber"/>
        <w:spacing w:after="80"/>
      </w:pPr>
      <w:r>
        <w:t>Add the exact SPF and DKIM records provided by Resend to the authoritative DNS provider.</w:t>
      </w:r>
    </w:p>
    <w:p>
      <w:pPr>
        <w:pStyle w:val="ListNumber"/>
        <w:spacing w:after="80"/>
      </w:pPr>
      <w:r>
        <w:t>Add or review DMARC. Start with a monitoring policy if mail operations are new, then tighten after verifying legitimate senders.</w:t>
      </w:r>
    </w:p>
    <w:p>
      <w:pPr>
        <w:pStyle w:val="ListNumber"/>
        <w:spacing w:after="80"/>
      </w:pPr>
      <w:r>
        <w:t>Wait for every domain-verification check to pass.</w:t>
      </w:r>
    </w:p>
    <w:p>
      <w:pPr>
        <w:pStyle w:val="ListNumber"/>
        <w:spacing w:after="80"/>
      </w:pPr>
      <w:r>
        <w:t>Set the sender to GODFIN &lt;licenses@godfin.dev&gt; and ensure replies route to a monitored support address.</w:t>
      </w:r>
    </w:p>
    <w:p>
      <w:pPr>
        <w:pStyle w:val="ListNumber"/>
        <w:spacing w:after="80"/>
      </w:pPr>
      <w:r>
        <w:t>Create a production API key with the minimum necessary permission and store it directly in Vercel; do not download it into the repository.</w:t>
      </w:r>
    </w:p>
    <w:p>
      <w:pPr>
        <w:pStyle w:val="ListNumber"/>
        <w:spacing w:after="80"/>
      </w:pPr>
      <w:r>
        <w:t>Send synthetic license emails to Gmail and at least one other provider. Check inbox placement, links, plain-text fallback, mobile layout, reply behavior, and redelivery.</w:t>
      </w:r>
    </w:p>
    <w:p>
      <w:pPr>
        <w:pStyle w:val="ListNumber"/>
        <w:spacing w:after="80"/>
      </w:pPr>
      <w:r>
        <w:t>Verify that the email never logs or exposes more than the intended full key to the authenticated purchaser at fulfillment time.</w:t>
      </w:r>
    </w:p>
    <w:p>
      <w:pPr>
        <w:spacing w:after="80"/>
        <w:ind w:left="173" w:hanging="29"/>
      </w:pPr>
      <w:r>
        <w:rPr>
          <w:rFonts w:ascii="Arial Unicode MS" w:hAnsi="Arial Unicode MS"/>
        </w:rPr>
        <w:t xml:space="preserve">☐ </w:t>
      </w:r>
      <w:r>
        <w:t>SPF passes.</w:t>
      </w:r>
    </w:p>
    <w:p>
      <w:pPr>
        <w:spacing w:after="80"/>
        <w:ind w:left="173" w:hanging="29"/>
      </w:pPr>
      <w:r>
        <w:rPr>
          <w:rFonts w:ascii="Arial Unicode MS" w:hAnsi="Arial Unicode MS"/>
        </w:rPr>
        <w:t xml:space="preserve">☐ </w:t>
      </w:r>
      <w:r>
        <w:t>DKIM passes.</w:t>
      </w:r>
    </w:p>
    <w:p>
      <w:pPr>
        <w:spacing w:after="80"/>
        <w:ind w:left="173" w:hanging="29"/>
      </w:pPr>
      <w:r>
        <w:rPr>
          <w:rFonts w:ascii="Arial Unicode MS" w:hAnsi="Arial Unicode MS"/>
        </w:rPr>
        <w:t xml:space="preserve">☐ </w:t>
      </w:r>
      <w:r>
        <w:t>DMARC record exists.</w:t>
      </w:r>
    </w:p>
    <w:p>
      <w:pPr>
        <w:spacing w:after="80"/>
        <w:ind w:left="173" w:hanging="29"/>
      </w:pPr>
      <w:r>
        <w:rPr>
          <w:rFonts w:ascii="Arial Unicode MS" w:hAnsi="Arial Unicode MS"/>
        </w:rPr>
        <w:t xml:space="preserve">☐ </w:t>
      </w:r>
      <w:r>
        <w:t>Gmail delivery passes.</w:t>
      </w:r>
    </w:p>
    <w:p>
      <w:pPr>
        <w:spacing w:after="80"/>
        <w:ind w:left="173" w:hanging="29"/>
      </w:pPr>
      <w:r>
        <w:rPr>
          <w:rFonts w:ascii="Arial Unicode MS" w:hAnsi="Arial Unicode MS"/>
        </w:rPr>
        <w:t xml:space="preserve">☐ </w:t>
      </w:r>
      <w:r>
        <w:t>Second-provider delivery passes.</w:t>
      </w:r>
    </w:p>
    <w:p>
      <w:pPr>
        <w:spacing w:after="100"/>
      </w:pPr>
      <w:r>
        <w:rPr>
          <w:b/>
        </w:rPr>
        <w:t xml:space="preserve">Second test provider: </w:t>
      </w:r>
      <w:r>
        <w:t>__________________________________________________________________</w:t>
      </w:r>
    </w:p>
    <w:p>
      <w:pPr>
        <w:spacing w:after="100"/>
      </w:pPr>
      <w:r>
        <w:rPr>
          <w:b/>
        </w:rPr>
        <w:t xml:space="preserve">Completed by / date: </w:t>
      </w:r>
      <w:r>
        <w:t>__________________________________________________________________</w:t>
      </w:r>
    </w:p>
    <w:p>
      <w:pPr>
        <w:pStyle w:val="Heading1"/>
      </w:pPr>
      <w:r>
        <w:t>7. Create and protect the license signing secret</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DECEC"/>
            <w:tcBorders>
              <w:left w:val="single" w:sz="18" w:color="C00000"/>
            </w:tcBorders>
          </w:tcPr>
          <w:p>
            <w:pPr>
              <w:spacing w:after="80"/>
            </w:pPr>
            <w:r>
              <w:rPr>
                <w:b/>
                <w:color w:val="1F4D78"/>
              </w:rPr>
              <w:t>Do not rotate casually</w:t>
            </w:r>
          </w:p>
          <w:p>
            <w:pPr>
              <w:spacing w:after="0"/>
            </w:pPr>
            <w:r>
              <w:t>Issued license keys are deterministically derived from LICENSE_SIGNING_SECRET. Losing or changing it without a migration can invalidate recovery and reissue workflows.</w:t>
            </w:r>
          </w:p>
        </w:tc>
      </w:tr>
    </w:tbl>
    <w:p>
      <w:pPr>
        <w:pStyle w:val="ListNumber"/>
        <w:spacing w:after="80"/>
      </w:pPr>
      <w:r>
        <w:t>Generate at least 32 random bytes using your password manager’s secure generator or a local cryptographic tool.</w:t>
      </w:r>
    </w:p>
    <w:p>
      <w:pPr>
        <w:pStyle w:val="ListNumber"/>
        <w:spacing w:after="80"/>
      </w:pPr>
      <w:r>
        <w:t>Store the value in the business password vault with restricted access and an offline recovery copy.</w:t>
      </w:r>
    </w:p>
    <w:p>
      <w:pPr>
        <w:pStyle w:val="ListNumber"/>
        <w:spacing w:after="80"/>
      </w:pPr>
      <w:r>
        <w:t>Enter it directly into Vercel’s encrypted environment configuration for Production and the required Preview environment. Do not put it in .env files that may be committed.</w:t>
      </w:r>
    </w:p>
    <w:p>
      <w:pPr>
        <w:pStyle w:val="ListNumber"/>
        <w:spacing w:after="80"/>
      </w:pPr>
      <w:r>
        <w:t>Record who can access it and test account-recovery access.</w:t>
      </w:r>
    </w:p>
    <w:p>
      <w:pPr>
        <w:pStyle w:val="ListNumber"/>
        <w:spacing w:after="80"/>
      </w:pPr>
      <w:r>
        <w:t>Document a future rotation/migration design before any rotation: versioned key IDs, legacy verification, reissue policy, and customer communication.</w:t>
      </w:r>
    </w:p>
    <w:p>
      <w:pPr>
        <w:spacing w:after="80"/>
        <w:ind w:left="173" w:hanging="29"/>
      </w:pPr>
      <w:r>
        <w:rPr>
          <w:rFonts w:ascii="Arial Unicode MS" w:hAnsi="Arial Unicode MS"/>
        </w:rPr>
        <w:t xml:space="preserve">☐ </w:t>
      </w:r>
      <w:r>
        <w:t>Secret generated and stored.</w:t>
      </w:r>
    </w:p>
    <w:p>
      <w:pPr>
        <w:spacing w:after="80"/>
        <w:ind w:left="173" w:hanging="29"/>
      </w:pPr>
      <w:r>
        <w:rPr>
          <w:rFonts w:ascii="Arial Unicode MS" w:hAnsi="Arial Unicode MS"/>
        </w:rPr>
        <w:t xml:space="preserve">☐ </w:t>
      </w:r>
      <w:r>
        <w:t>Offline recovery copy verified.</w:t>
      </w:r>
    </w:p>
    <w:p>
      <w:pPr>
        <w:spacing w:after="80"/>
        <w:ind w:left="173" w:hanging="29"/>
      </w:pPr>
      <w:r>
        <w:rPr>
          <w:rFonts w:ascii="Arial Unicode MS" w:hAnsi="Arial Unicode MS"/>
        </w:rPr>
        <w:t xml:space="preserve">☐ </w:t>
      </w:r>
      <w:r>
        <w:t>No secret value appears in this document or repository.</w:t>
      </w:r>
    </w:p>
    <w:p>
      <w:pPr>
        <w:spacing w:after="100"/>
      </w:pPr>
      <w:r>
        <w:rPr>
          <w:b/>
        </w:rPr>
        <w:t xml:space="preserve">Vault record name (not the value): </w:t>
      </w:r>
      <w:r>
        <w:t>__________________________________________________________________</w:t>
      </w:r>
    </w:p>
    <w:p>
      <w:pPr>
        <w:spacing w:after="100"/>
      </w:pPr>
      <w:r>
        <w:rPr>
          <w:b/>
        </w:rPr>
        <w:t xml:space="preserve">Authorized custodians: </w:t>
      </w:r>
      <w:r>
        <w:t>__________________________________________________________________</w:t>
      </w:r>
    </w:p>
    <w:p>
      <w:pPr>
        <w:pStyle w:val="Heading1"/>
      </w:pPr>
      <w:r>
        <w:t>8. Build immutable distribution on Cloudflare R2</w:t>
      </w:r>
    </w:p>
    <w:p>
      <w:pPr>
        <w:pStyle w:val="ListNumber"/>
        <w:spacing w:after="80"/>
      </w:pPr>
      <w:r>
        <w:t>Create a Cloudflare account owned by the business and enable two-factor authentication.</w:t>
      </w:r>
    </w:p>
    <w:p>
      <w:pPr>
        <w:pStyle w:val="ListNumber"/>
        <w:spacing w:after="80"/>
      </w:pPr>
      <w:r>
        <w:t>Create an R2 bucket dedicated to public release artifacts. Do not place customer data or desktop backups in this bucket.</w:t>
      </w:r>
    </w:p>
    <w:p>
      <w:pPr>
        <w:pStyle w:val="ListNumber"/>
        <w:spacing w:after="80"/>
      </w:pPr>
      <w:r>
        <w:t>Connect the custom download/update domain releases.godfin.dev.</w:t>
      </w:r>
    </w:p>
    <w:p>
      <w:pPr>
        <w:pStyle w:val="ListNumber"/>
        <w:spacing w:after="80"/>
      </w:pPr>
      <w:r>
        <w:t>Configure DNS and verify HTTPS before placing the domain in the Electron updater.</w:t>
      </w:r>
    </w:p>
    <w:p>
      <w:pPr>
        <w:pStyle w:val="ListNumber"/>
        <w:spacing w:after="80"/>
      </w:pPr>
      <w:r>
        <w:t>Use versioned, immutable object paths such as /v0.1.0/&lt;artifact&gt;. Never overwrite an object already referenced by a released updater manifest.</w:t>
      </w:r>
    </w:p>
    <w:p>
      <w:pPr>
        <w:pStyle w:val="ListNumber"/>
        <w:spacing w:after="80"/>
      </w:pPr>
      <w:r>
        <w:t>Upload signed installers, macOS ZIP update artifacts, Windows installers, Linux artifacts, blockmaps, latest*.yml metadata, SHA-256 checksums, SBOM, and release notes as applicable.</w:t>
      </w:r>
    </w:p>
    <w:p>
      <w:pPr>
        <w:pStyle w:val="ListNumber"/>
        <w:spacing w:after="80"/>
      </w:pPr>
      <w:r>
        <w:t>Set correct Content-Type headers, Content-Disposition for downloads, and long immutable cache headers only for versioned objects.</w:t>
      </w:r>
    </w:p>
    <w:p>
      <w:pPr>
        <w:pStyle w:val="ListNumber"/>
        <w:spacing w:after="80"/>
      </w:pPr>
      <w:r>
        <w:t>Keep update metadata available at the exact paths expected by Electron. Test redirects, range requests, and large-file downloads.</w:t>
      </w:r>
    </w:p>
    <w:p>
      <w:pPr>
        <w:pStyle w:val="ListNumber"/>
        <w:spacing w:after="80"/>
      </w:pPr>
      <w:r>
        <w:t>Create a least-privilege upload credential for release automation. Store it as encrypted repository secrets; never make the bucket writeable from the website.</w:t>
      </w:r>
    </w:p>
    <w:p>
      <w:pPr>
        <w:pStyle w:val="ListNumber"/>
        <w:spacing w:after="80"/>
      </w:pPr>
      <w:r>
        <w:t>Set the website’s platform download URLs to immutable signed artifacts only after clean-device validation.</w:t>
      </w:r>
    </w:p>
    <w:p>
      <w:pPr>
        <w:spacing w:after="80"/>
        <w:ind w:left="173" w:hanging="29"/>
      </w:pPr>
      <w:r>
        <w:rPr>
          <w:rFonts w:ascii="Arial Unicode MS" w:hAnsi="Arial Unicode MS"/>
        </w:rPr>
        <w:t xml:space="preserve">☐ </w:t>
      </w:r>
      <w:r>
        <w:t>releases.godfin.dev resolves over HTTPS.</w:t>
      </w:r>
    </w:p>
    <w:p>
      <w:pPr>
        <w:spacing w:after="80"/>
        <w:ind w:left="173" w:hanging="29"/>
      </w:pPr>
      <w:r>
        <w:rPr>
          <w:rFonts w:ascii="Arial Unicode MS" w:hAnsi="Arial Unicode MS"/>
        </w:rPr>
        <w:t xml:space="preserve">☐ </w:t>
      </w:r>
      <w:r>
        <w:t>Anonymous users can read release artifacts but cannot list or write the bucket.</w:t>
      </w:r>
    </w:p>
    <w:p>
      <w:pPr>
        <w:spacing w:after="80"/>
        <w:ind w:left="173" w:hanging="29"/>
      </w:pPr>
      <w:r>
        <w:rPr>
          <w:rFonts w:ascii="Arial Unicode MS" w:hAnsi="Arial Unicode MS"/>
        </w:rPr>
        <w:t xml:space="preserve">☐ </w:t>
      </w:r>
      <w:r>
        <w:t>Checksums match locally downloaded files.</w:t>
      </w:r>
    </w:p>
    <w:p>
      <w:pPr>
        <w:spacing w:after="80"/>
        <w:ind w:left="173" w:hanging="29"/>
      </w:pPr>
      <w:r>
        <w:rPr>
          <w:rFonts w:ascii="Arial Unicode MS" w:hAnsi="Arial Unicode MS"/>
        </w:rPr>
        <w:t xml:space="preserve">☐ </w:t>
      </w:r>
      <w:r>
        <w:t>Previous release remains available for rollback/update testing.</w:t>
      </w:r>
    </w:p>
    <w:p>
      <w:pPr>
        <w:spacing w:after="100"/>
      </w:pPr>
      <w:r>
        <w:rPr>
          <w:b/>
        </w:rPr>
        <w:t xml:space="preserve">R2 account ID (not secret): </w:t>
      </w:r>
      <w:r>
        <w:t>__________________________________________________________________</w:t>
      </w:r>
    </w:p>
    <w:p>
      <w:pPr>
        <w:spacing w:after="100"/>
      </w:pPr>
      <w:r>
        <w:rPr>
          <w:b/>
        </w:rPr>
        <w:t xml:space="preserve">Bucket name: </w:t>
      </w:r>
      <w:r>
        <w:t>__________________________________________________________________</w:t>
      </w:r>
    </w:p>
    <w:p>
      <w:pPr>
        <w:pStyle w:val="Heading1"/>
      </w:pPr>
      <w:r>
        <w:t>9. Obtain macOS signing and notarization credentials</w:t>
      </w:r>
    </w:p>
    <w:p>
      <w:pPr>
        <w:pStyle w:val="ListNumber"/>
        <w:spacing w:after="80"/>
      </w:pPr>
      <w:r>
        <w:t>Enroll the legal seller in the Apple Developer Program and complete identity verification.</w:t>
      </w:r>
    </w:p>
    <w:p>
      <w:pPr>
        <w:pStyle w:val="ListNumber"/>
        <w:spacing w:after="80"/>
      </w:pPr>
      <w:r>
        <w:t>Create a Developer ID Application certificate for distribution outside the Mac App Store.</w:t>
      </w:r>
    </w:p>
    <w:p>
      <w:pPr>
        <w:pStyle w:val="ListNumber"/>
        <w:spacing w:after="80"/>
      </w:pPr>
      <w:r>
        <w:t>Install the certificate and private key in Keychain Access on a secured Mac.</w:t>
      </w:r>
    </w:p>
    <w:p>
      <w:pPr>
        <w:pStyle w:val="ListNumber"/>
        <w:spacing w:after="80"/>
      </w:pPr>
      <w:r>
        <w:t>Export the certificate plus private key as a password-protected .p12 file. Store the file in the business vault, never in git.</w:t>
      </w:r>
    </w:p>
    <w:p>
      <w:pPr>
        <w:pStyle w:val="ListNumber"/>
        <w:spacing w:after="80"/>
      </w:pPr>
      <w:r>
        <w:t>Record the Apple Team ID.</w:t>
      </w:r>
    </w:p>
    <w:p>
      <w:pPr>
        <w:pStyle w:val="ListNumber"/>
        <w:spacing w:after="80"/>
      </w:pPr>
      <w:r>
        <w:t>Create an app-specific password for the Apple ID used by notarization. Do not use the normal Apple ID password.</w:t>
      </w:r>
    </w:p>
    <w:p>
      <w:pPr>
        <w:pStyle w:val="ListNumber"/>
        <w:spacing w:after="80"/>
      </w:pPr>
      <w:r>
        <w:t>Add the required private GitHub Actions secrets: MAC_CSC_LINK, MAC_CSC_KEY_PASSWORD, APPLE_ID, APPLE_APP_SPECIFIC_PASSWORD, and APPLE_TEAM_ID.</w:t>
      </w:r>
    </w:p>
    <w:p>
      <w:pPr>
        <w:pStyle w:val="ListNumber"/>
        <w:spacing w:after="80"/>
      </w:pPr>
      <w:r>
        <w:t>Run the private release workflow and confirm code signing, hardened runtime, entitlements, notarization, and stapling.</w:t>
      </w:r>
    </w:p>
    <w:p>
      <w:pPr>
        <w:pStyle w:val="ListNumber"/>
        <w:spacing w:after="80"/>
      </w:pPr>
      <w:r>
        <w:t>On clean Apple silicon and Intel Macs, verify Gatekeeper accepts the DMG and app without override instructions.</w:t>
      </w:r>
    </w:p>
    <w:p>
      <w:pPr>
        <w:spacing w:after="80"/>
        <w:ind w:left="173" w:hanging="29"/>
      </w:pPr>
      <w:r>
        <w:rPr>
          <w:rFonts w:ascii="Arial Unicode MS" w:hAnsi="Arial Unicode MS"/>
        </w:rPr>
        <w:t xml:space="preserve">☐ </w:t>
      </w:r>
      <w:r>
        <w:t>Developer ID Application identity is valid and unexpired.</w:t>
      </w:r>
    </w:p>
    <w:p>
      <w:pPr>
        <w:spacing w:after="80"/>
        <w:ind w:left="173" w:hanging="29"/>
      </w:pPr>
      <w:r>
        <w:rPr>
          <w:rFonts w:ascii="Arial Unicode MS" w:hAnsi="Arial Unicode MS"/>
        </w:rPr>
        <w:t xml:space="preserve">☐ </w:t>
      </w:r>
      <w:r>
        <w:t>Notarization succeeds.</w:t>
      </w:r>
    </w:p>
    <w:p>
      <w:pPr>
        <w:spacing w:after="80"/>
        <w:ind w:left="173" w:hanging="29"/>
      </w:pPr>
      <w:r>
        <w:rPr>
          <w:rFonts w:ascii="Arial Unicode MS" w:hAnsi="Arial Unicode MS"/>
        </w:rPr>
        <w:t xml:space="preserve">☐ </w:t>
      </w:r>
      <w:r>
        <w:t>Stapler validation succeeds.</w:t>
      </w:r>
    </w:p>
    <w:p>
      <w:pPr>
        <w:spacing w:after="80"/>
        <w:ind w:left="173" w:hanging="29"/>
      </w:pPr>
      <w:r>
        <w:rPr>
          <w:rFonts w:ascii="Arial Unicode MS" w:hAnsi="Arial Unicode MS"/>
        </w:rPr>
        <w:t xml:space="preserve">☐ </w:t>
      </w:r>
      <w:r>
        <w:t>Clean Apple silicon install passes.</w:t>
      </w:r>
    </w:p>
    <w:p>
      <w:pPr>
        <w:spacing w:after="80"/>
        <w:ind w:left="173" w:hanging="29"/>
      </w:pPr>
      <w:r>
        <w:rPr>
          <w:rFonts w:ascii="Arial Unicode MS" w:hAnsi="Arial Unicode MS"/>
        </w:rPr>
        <w:t xml:space="preserve">☐ </w:t>
      </w:r>
      <w:r>
        <w:t>Clean Intel install passes.</w:t>
      </w:r>
    </w:p>
    <w:p>
      <w:pPr>
        <w:pStyle w:val="Heading1"/>
      </w:pPr>
      <w:r>
        <w:t>10. Obtain Windows Authenticode signing</w:t>
      </w:r>
    </w:p>
    <w:p>
      <w:pPr>
        <w:pStyle w:val="ListNumber"/>
        <w:spacing w:after="80"/>
      </w:pPr>
      <w:r>
        <w:t>Purchase an Authenticode code-signing certificate in the legal seller’s name from a trusted certificate authority. Prefer a current cloud-signing or hardware-backed option supported by your CI design.</w:t>
      </w:r>
    </w:p>
    <w:p>
      <w:pPr>
        <w:pStyle w:val="ListNumber"/>
        <w:spacing w:after="80"/>
      </w:pPr>
      <w:r>
        <w:t>Complete organizational identity verification and protect the signing key according to the provider’s requirements.</w:t>
      </w:r>
    </w:p>
    <w:p>
      <w:pPr>
        <w:pStyle w:val="ListNumber"/>
        <w:spacing w:after="80"/>
      </w:pPr>
      <w:r>
        <w:t>If CI uses an exportable PFX, store the password-protected file only in the secure vault and convert it to the format expected by electron-builder without committing it.</w:t>
      </w:r>
    </w:p>
    <w:p>
      <w:pPr>
        <w:pStyle w:val="ListNumber"/>
        <w:spacing w:after="80"/>
      </w:pPr>
      <w:r>
        <w:t>Add WIN_CSC_LINK and WIN_CSC_KEY_PASSWORD as private GitHub Actions secrets.</w:t>
      </w:r>
    </w:p>
    <w:p>
      <w:pPr>
        <w:pStyle w:val="ListNumber"/>
        <w:spacing w:after="80"/>
      </w:pPr>
      <w:r>
        <w:t>Ensure signing uses a trusted timestamp service so signatures remain valid after certificate expiry.</w:t>
      </w:r>
    </w:p>
    <w:p>
      <w:pPr>
        <w:pStyle w:val="ListNumber"/>
        <w:spacing w:after="80"/>
      </w:pPr>
      <w:r>
        <w:t>Build the private draft installer and verify the Authenticode chain and timestamp.</w:t>
      </w:r>
    </w:p>
    <w:p>
      <w:pPr>
        <w:pStyle w:val="ListNumber"/>
        <w:spacing w:after="80"/>
      </w:pPr>
      <w:r>
        <w:t>Install on a clean Windows 11 VM with SmartScreen enabled. Record any reputation warning; standard certificates may need reputation to accumulate even when the signature is valid.</w:t>
      </w:r>
    </w:p>
    <w:p>
      <w:pPr>
        <w:spacing w:after="80"/>
        <w:ind w:left="173" w:hanging="29"/>
      </w:pPr>
      <w:r>
        <w:rPr>
          <w:rFonts w:ascii="Arial Unicode MS" w:hAnsi="Arial Unicode MS"/>
        </w:rPr>
        <w:t xml:space="preserve">☐ </w:t>
      </w:r>
      <w:r>
        <w:t>Publisher name matches the seller.</w:t>
      </w:r>
    </w:p>
    <w:p>
      <w:pPr>
        <w:spacing w:after="80"/>
        <w:ind w:left="173" w:hanging="29"/>
      </w:pPr>
      <w:r>
        <w:rPr>
          <w:rFonts w:ascii="Arial Unicode MS" w:hAnsi="Arial Unicode MS"/>
        </w:rPr>
        <w:t xml:space="preserve">☐ </w:t>
      </w:r>
      <w:r>
        <w:t>Signature and timestamp verify.</w:t>
      </w:r>
    </w:p>
    <w:p>
      <w:pPr>
        <w:spacing w:after="80"/>
        <w:ind w:left="173" w:hanging="29"/>
      </w:pPr>
      <w:r>
        <w:rPr>
          <w:rFonts w:ascii="Arial Unicode MS" w:hAnsi="Arial Unicode MS"/>
        </w:rPr>
        <w:t xml:space="preserve">☐ </w:t>
      </w:r>
      <w:r>
        <w:t>Clean Windows installation passes.</w:t>
      </w:r>
    </w:p>
    <w:p>
      <w:pPr>
        <w:spacing w:after="80"/>
        <w:ind w:left="173" w:hanging="29"/>
      </w:pPr>
      <w:r>
        <w:rPr>
          <w:rFonts w:ascii="Arial Unicode MS" w:hAnsi="Arial Unicode MS"/>
        </w:rPr>
        <w:t xml:space="preserve">☐ </w:t>
      </w:r>
      <w:r>
        <w:t>Uninstall and data-retention behavior pass.</w:t>
      </w:r>
    </w:p>
    <w:p>
      <w:pPr>
        <w:pStyle w:val="Heading1"/>
      </w:pPr>
      <w:r>
        <w:t>11. Run the private signed release workflow</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FF4CE"/>
            <w:tcBorders>
              <w:left w:val="single" w:sz="18" w:color="D6A400"/>
            </w:tcBorders>
          </w:tcPr>
          <w:p>
            <w:pPr>
              <w:spacing w:after="80"/>
            </w:pPr>
            <w:r>
              <w:rPr>
                <w:b/>
                <w:color w:val="1F4D78"/>
              </w:rPr>
              <w:t>Private draft only</w:t>
            </w:r>
          </w:p>
          <w:p>
            <w:pPr>
              <w:spacing w:after="0"/>
            </w:pPr>
            <w:r>
              <w:t>A tag triggers signed builds and a draft GitHub Release. Keep the repository private and the release in draft until every validation section is complete. Do not publish merely because CI succeeds.</w:t>
            </w:r>
          </w:p>
        </w:tc>
      </w:tr>
    </w:tbl>
    <w:p>
      <w:pPr>
        <w:pStyle w:val="ListNumber"/>
        <w:spacing w:after="80"/>
      </w:pPr>
      <w:r>
        <w:t>Confirm the release commit is on the private repository’s main branch and all CI checks pass.</w:t>
      </w:r>
    </w:p>
    <w:p>
      <w:pPr>
        <w:pStyle w:val="ListNumber"/>
        <w:spacing w:after="80"/>
      </w:pPr>
      <w:r>
        <w:t>Confirm all seven signing secrets are present in GitHub Actions without revealing their values.</w:t>
      </w:r>
    </w:p>
    <w:p>
      <w:pPr>
        <w:pStyle w:val="ListNumber"/>
        <w:spacing w:after="80"/>
      </w:pPr>
      <w:r>
        <w:t>Choose the version according to semantic versioning and update application/package versions consistently.</w:t>
      </w:r>
    </w:p>
    <w:p>
      <w:pPr>
        <w:pStyle w:val="ListNumber"/>
        <w:spacing w:after="80"/>
      </w:pPr>
      <w:r>
        <w:t>Create and push a signed or annotated release tag only after the release commit is frozen.</w:t>
      </w:r>
    </w:p>
    <w:p>
      <w:pPr>
        <w:pStyle w:val="ListNumber"/>
        <w:spacing w:after="80"/>
      </w:pPr>
      <w:r>
        <w:t>Watch all four matrix builds: macOS arm64, macOS x64, Windows x64, and Linux x64.</w:t>
      </w:r>
    </w:p>
    <w:p>
      <w:pPr>
        <w:pStyle w:val="ListNumber"/>
        <w:spacing w:after="80"/>
      </w:pPr>
      <w:r>
        <w:t>Confirm the workflow produces a private draft GitHub Release with installers, update metadata, blockmaps, Homebrew cask, checksums, and notes.</w:t>
      </w:r>
    </w:p>
    <w:p>
      <w:pPr>
        <w:pStyle w:val="ListNumber"/>
        <w:spacing w:after="80"/>
      </w:pPr>
      <w:r>
        <w:t>Download artifacts from the draft and perform independent signature and checksum verification.</w:t>
      </w:r>
    </w:p>
    <w:p>
      <w:pPr>
        <w:pStyle w:val="ListNumber"/>
        <w:spacing w:after="80"/>
      </w:pPr>
      <w:r>
        <w:t>Copy only validated immutable assets to R2. Do not delete the previous stable assets.</w:t>
      </w:r>
    </w:p>
    <w:p>
      <w:pPr>
        <w:pStyle w:val="ListNumber"/>
        <w:spacing w:after="80"/>
      </w:pPr>
      <w:r>
        <w:t>Keep the GitHub Release draft and record the artifact manifest below.</w:t>
      </w:r>
    </w:p>
    <w:p>
      <w:pPr>
        <w:spacing w:after="100"/>
      </w:pPr>
      <w:r>
        <w:rPr>
          <w:b/>
        </w:rPr>
        <w:t xml:space="preserve">Release version/tag: </w:t>
      </w:r>
      <w:r>
        <w:t>__________________________________________________________________</w:t>
      </w:r>
    </w:p>
    <w:p>
      <w:pPr>
        <w:spacing w:after="100"/>
      </w:pPr>
      <w:r>
        <w:rPr>
          <w:b/>
        </w:rPr>
        <w:t xml:space="preserve">Release commit SHA: </w:t>
      </w:r>
      <w:r>
        <w:t>__________________________________________________________________</w:t>
      </w:r>
    </w:p>
    <w:p>
      <w:pPr>
        <w:spacing w:after="100"/>
      </w:pPr>
      <w:r>
        <w:rPr>
          <w:b/>
        </w:rPr>
        <w:t xml:space="preserve">Draft release URL: </w:t>
      </w:r>
      <w:r>
        <w:t>__________________________________________________________________</w:t>
      </w:r>
    </w:p>
    <w:p>
      <w:pPr>
        <w:spacing w:after="100"/>
      </w:pPr>
      <w:r>
        <w:rPr>
          <w:b/>
        </w:rPr>
        <w:t xml:space="preserve">SHA256SUMS verified by / date: </w:t>
      </w:r>
      <w:r>
        <w:t>__________________________________________________________________</w:t>
      </w:r>
    </w:p>
    <w:p>
      <w:pPr>
        <w:pStyle w:val="Heading1"/>
      </w:pPr>
      <w:r>
        <w:t>12. Execute clean-device acceptance testing</w:t>
      </w:r>
    </w:p>
    <w:p>
      <w:pPr>
        <w:pStyle w:val="Heading2"/>
      </w:pPr>
      <w:r>
        <w:t>12.1 Platform matrix</w:t>
      </w:r>
    </w:p>
    <w:tbl>
      <w:tblPr>
        <w:tblStyle w:val="TableGrid"/>
        <w:tblW w:type="dxa" w:w="9360"/>
        <w:jc w:val="center"/>
        <w:tblLayout w:type="fixed"/>
        <w:tblLook w:firstColumn="1" w:firstRow="1" w:lastColumn="0" w:lastRow="0" w:noHBand="0" w:noVBand="1" w:val="04A0"/>
        <w:tblInd w:w="120" w:type="dxa"/>
      </w:tblPr>
      <w:tblGrid>
        <w:gridCol w:w="1872"/>
        <w:gridCol w:w="1872"/>
        <w:gridCol w:w="1872"/>
        <w:gridCol w:w="1872"/>
        <w:gridCol w:w="1872"/>
      </w:tblGrid>
      <w:tr>
        <w:trPr>
          <w:tblHeader w:val="true"/>
        </w:trPr>
        <w:tc>
          <w:tcPr>
            <w:tcW w:type="dxa" w:w="2340"/>
            <w:shd w:fill="E8EEF5"/>
            <w:tcMar>
              <w:top w:w="80" w:type="dxa"/>
              <w:start w:w="120" w:type="dxa"/>
              <w:bottom w:w="80" w:type="dxa"/>
              <w:end w:w="120" w:type="dxa"/>
            </w:tcMar>
            <w:vAlign w:val="center"/>
          </w:tcPr>
          <w:p>
            <w:r>
              <w:rPr>
                <w:b/>
              </w:rPr>
              <w:t>Platform</w:t>
            </w:r>
          </w:p>
        </w:tc>
        <w:tc>
          <w:tcPr>
            <w:tcW w:type="dxa" w:w="1320"/>
            <w:shd w:fill="E8EEF5"/>
            <w:tcMar>
              <w:top w:w="80" w:type="dxa"/>
              <w:start w:w="120" w:type="dxa"/>
              <w:bottom w:w="80" w:type="dxa"/>
              <w:end w:w="120" w:type="dxa"/>
            </w:tcMar>
            <w:vAlign w:val="center"/>
          </w:tcPr>
          <w:p>
            <w:r>
              <w:rPr>
                <w:b/>
              </w:rPr>
              <w:t>Clean install</w:t>
            </w:r>
          </w:p>
        </w:tc>
        <w:tc>
          <w:tcPr>
            <w:tcW w:type="dxa" w:w="1260"/>
            <w:shd w:fill="E8EEF5"/>
            <w:tcMar>
              <w:top w:w="80" w:type="dxa"/>
              <w:start w:w="120" w:type="dxa"/>
              <w:bottom w:w="80" w:type="dxa"/>
              <w:end w:w="120" w:type="dxa"/>
            </w:tcMar>
            <w:vAlign w:val="center"/>
          </w:tcPr>
          <w:p>
            <w:r>
              <w:rPr>
                <w:b/>
              </w:rPr>
              <w:t>Upgrade</w:t>
            </w:r>
          </w:p>
        </w:tc>
        <w:tc>
          <w:tcPr>
            <w:tcW w:type="dxa" w:w="1260"/>
            <w:shd w:fill="E8EEF5"/>
            <w:tcMar>
              <w:top w:w="80" w:type="dxa"/>
              <w:start w:w="120" w:type="dxa"/>
              <w:bottom w:w="80" w:type="dxa"/>
              <w:end w:w="120" w:type="dxa"/>
            </w:tcMar>
            <w:vAlign w:val="center"/>
          </w:tcPr>
          <w:p>
            <w:r>
              <w:rPr>
                <w:b/>
              </w:rPr>
              <w:t>Uninstall</w:t>
            </w:r>
          </w:p>
        </w:tc>
        <w:tc>
          <w:tcPr>
            <w:tcW w:type="dxa" w:w="3180"/>
            <w:shd w:fill="E8EEF5"/>
            <w:tcMar>
              <w:top w:w="80" w:type="dxa"/>
              <w:start w:w="120" w:type="dxa"/>
              <w:bottom w:w="80" w:type="dxa"/>
              <w:end w:w="120" w:type="dxa"/>
            </w:tcMar>
            <w:vAlign w:val="center"/>
          </w:tcPr>
          <w:p>
            <w:r>
              <w:rPr>
                <w:b/>
              </w:rPr>
              <w:t>Evidence</w:t>
            </w:r>
          </w:p>
        </w:tc>
      </w:tr>
      <w:tr>
        <w:tc>
          <w:tcPr>
            <w:tcW w:type="dxa" w:w="2340"/>
            <w:tcMar>
              <w:top w:w="80" w:type="dxa"/>
              <w:start w:w="120" w:type="dxa"/>
              <w:bottom w:w="80" w:type="dxa"/>
              <w:end w:w="120" w:type="dxa"/>
            </w:tcMar>
            <w:vAlign w:val="center"/>
          </w:tcPr>
          <w:p>
            <w:r>
              <w:t>macOS Apple silicon</w:t>
            </w:r>
          </w:p>
        </w:tc>
        <w:tc>
          <w:tcPr>
            <w:tcW w:type="dxa" w:w="132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3180"/>
            <w:tcMar>
              <w:top w:w="80" w:type="dxa"/>
              <w:start w:w="120" w:type="dxa"/>
              <w:bottom w:w="80" w:type="dxa"/>
              <w:end w:w="120" w:type="dxa"/>
            </w:tcMar>
            <w:vAlign w:val="center"/>
          </w:tcPr>
          <w:p>
            <w:r/>
          </w:p>
        </w:tc>
      </w:tr>
      <w:tr>
        <w:tc>
          <w:tcPr>
            <w:tcW w:type="dxa" w:w="2340"/>
            <w:tcMar>
              <w:top w:w="80" w:type="dxa"/>
              <w:start w:w="120" w:type="dxa"/>
              <w:bottom w:w="80" w:type="dxa"/>
              <w:end w:w="120" w:type="dxa"/>
            </w:tcMar>
            <w:vAlign w:val="center"/>
          </w:tcPr>
          <w:p>
            <w:r>
              <w:t>macOS Intel</w:t>
            </w:r>
          </w:p>
        </w:tc>
        <w:tc>
          <w:tcPr>
            <w:tcW w:type="dxa" w:w="132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3180"/>
            <w:tcMar>
              <w:top w:w="80" w:type="dxa"/>
              <w:start w:w="120" w:type="dxa"/>
              <w:bottom w:w="80" w:type="dxa"/>
              <w:end w:w="120" w:type="dxa"/>
            </w:tcMar>
            <w:vAlign w:val="center"/>
          </w:tcPr>
          <w:p>
            <w:r/>
          </w:p>
        </w:tc>
      </w:tr>
      <w:tr>
        <w:tc>
          <w:tcPr>
            <w:tcW w:type="dxa" w:w="2340"/>
            <w:tcMar>
              <w:top w:w="80" w:type="dxa"/>
              <w:start w:w="120" w:type="dxa"/>
              <w:bottom w:w="80" w:type="dxa"/>
              <w:end w:w="120" w:type="dxa"/>
            </w:tcMar>
            <w:vAlign w:val="center"/>
          </w:tcPr>
          <w:p>
            <w:r>
              <w:t>Windows 11 x64</w:t>
            </w:r>
          </w:p>
        </w:tc>
        <w:tc>
          <w:tcPr>
            <w:tcW w:type="dxa" w:w="132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3180"/>
            <w:tcMar>
              <w:top w:w="80" w:type="dxa"/>
              <w:start w:w="120" w:type="dxa"/>
              <w:bottom w:w="80" w:type="dxa"/>
              <w:end w:w="120" w:type="dxa"/>
            </w:tcMar>
            <w:vAlign w:val="center"/>
          </w:tcPr>
          <w:p>
            <w:r/>
          </w:p>
        </w:tc>
      </w:tr>
      <w:tr>
        <w:tc>
          <w:tcPr>
            <w:tcW w:type="dxa" w:w="2340"/>
            <w:tcMar>
              <w:top w:w="80" w:type="dxa"/>
              <w:start w:w="120" w:type="dxa"/>
              <w:bottom w:w="80" w:type="dxa"/>
              <w:end w:w="120" w:type="dxa"/>
            </w:tcMar>
            <w:vAlign w:val="center"/>
          </w:tcPr>
          <w:p>
            <w:r>
              <w:t>Supported Linux x64</w:t>
            </w:r>
          </w:p>
        </w:tc>
        <w:tc>
          <w:tcPr>
            <w:tcW w:type="dxa" w:w="132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1260"/>
            <w:tcMar>
              <w:top w:w="80" w:type="dxa"/>
              <w:start w:w="120" w:type="dxa"/>
              <w:bottom w:w="80" w:type="dxa"/>
              <w:end w:w="120" w:type="dxa"/>
            </w:tcMar>
            <w:vAlign w:val="center"/>
          </w:tcPr>
          <w:p>
            <w:r>
              <w:t>☐</w:t>
            </w:r>
          </w:p>
        </w:tc>
        <w:tc>
          <w:tcPr>
            <w:tcW w:type="dxa" w:w="3180"/>
            <w:tcMar>
              <w:top w:w="80" w:type="dxa"/>
              <w:start w:w="120" w:type="dxa"/>
              <w:bottom w:w="80" w:type="dxa"/>
              <w:end w:w="120" w:type="dxa"/>
            </w:tcMar>
            <w:vAlign w:val="center"/>
          </w:tcPr>
          <w:p>
            <w:r/>
          </w:p>
        </w:tc>
      </w:tr>
    </w:tbl>
    <w:p>
      <w:pPr>
        <w:pStyle w:val="Heading2"/>
      </w:pPr>
      <w:r>
        <w:t>12.2 Desktop functional acceptance</w:t>
      </w:r>
    </w:p>
    <w:p>
      <w:pPr>
        <w:spacing w:after="80"/>
        <w:ind w:left="173" w:hanging="29"/>
      </w:pPr>
      <w:r>
        <w:rPr>
          <w:rFonts w:ascii="Arial Unicode MS" w:hAnsi="Arial Unicode MS"/>
        </w:rPr>
        <w:t xml:space="preserve">☐ </w:t>
      </w:r>
      <w:r>
        <w:t>First run: set PIN → optionally skip Gmail → import a synthetic/redacted HDFC statement → review → dashboard.</w:t>
      </w:r>
    </w:p>
    <w:p>
      <w:pPr>
        <w:spacing w:after="80"/>
        <w:ind w:left="173" w:hanging="29"/>
      </w:pPr>
      <w:r>
        <w:rPr>
          <w:rFonts w:ascii="Arial Unicode MS" w:hAnsi="Arial Unicode MS"/>
        </w:rPr>
        <w:t xml:space="preserve">☐ </w:t>
      </w:r>
      <w:r>
        <w:t>Desktop backend binds to 127.0.0.1 by default. LAN access is off until explicitly enabled.</w:t>
      </w:r>
    </w:p>
    <w:p>
      <w:pPr>
        <w:spacing w:after="80"/>
        <w:ind w:left="173" w:hanging="29"/>
      </w:pPr>
      <w:r>
        <w:rPr>
          <w:rFonts w:ascii="Arial Unicode MS" w:hAnsi="Arial Unicode MS"/>
        </w:rPr>
        <w:t xml:space="preserve">☐ </w:t>
      </w:r>
      <w:r>
        <w:t>Draft transactions can be edited/deleted. Finalized months remain locked until reopened.</w:t>
      </w:r>
    </w:p>
    <w:p>
      <w:pPr>
        <w:spacing w:after="80"/>
        <w:ind w:left="173" w:hanging="29"/>
      </w:pPr>
      <w:r>
        <w:rPr>
          <w:rFonts w:ascii="Arial Unicode MS" w:hAnsi="Arial Unicode MS"/>
        </w:rPr>
        <w:t xml:space="preserve">☐ </w:t>
      </w:r>
      <w:r>
        <w:t>HDFC launch formats import correctly; unsupported banks show an honest, structured message.</w:t>
      </w:r>
    </w:p>
    <w:p>
      <w:pPr>
        <w:spacing w:after="80"/>
        <w:ind w:left="173" w:hanging="29"/>
      </w:pPr>
      <w:r>
        <w:rPr>
          <w:rFonts w:ascii="Arial Unicode MS" w:hAnsi="Arial Unicode MS"/>
        </w:rPr>
        <w:t xml:space="preserve">☐ </w:t>
      </w:r>
      <w:r>
        <w:t>Repeated imports do not duplicate transactions or crash on existing merchant memory.</w:t>
      </w:r>
    </w:p>
    <w:p>
      <w:pPr>
        <w:spacing w:after="80"/>
        <w:ind w:left="173" w:hanging="29"/>
      </w:pPr>
      <w:r>
        <w:rPr>
          <w:rFonts w:ascii="Arial Unicode MS" w:hAnsi="Arial Unicode MS"/>
        </w:rPr>
        <w:t xml:space="preserve">☐ </w:t>
      </w:r>
      <w:r>
        <w:t>Transfer matching prevents confirmed card payments from being double-counted.</w:t>
      </w:r>
    </w:p>
    <w:p>
      <w:pPr>
        <w:spacing w:after="80"/>
        <w:ind w:left="173" w:hanging="29"/>
      </w:pPr>
      <w:r>
        <w:rPr>
          <w:rFonts w:ascii="Arial Unicode MS" w:hAnsi="Arial Unicode MS"/>
        </w:rPr>
        <w:t xml:space="preserve">☐ </w:t>
      </w:r>
      <w:r>
        <w:t>April–March CSV and JSON exports reconcile exactly to source transactions.</w:t>
      </w:r>
    </w:p>
    <w:p>
      <w:pPr>
        <w:spacing w:after="80"/>
        <w:ind w:left="173" w:hanging="29"/>
      </w:pPr>
      <w:r>
        <w:rPr>
          <w:rFonts w:ascii="Arial Unicode MS" w:hAnsi="Arial Unicode MS"/>
        </w:rPr>
        <w:t xml:space="preserve">☐ </w:t>
      </w:r>
      <w:r>
        <w:t>Cash-flow calendar daily totals reconcile to dashboard totals.</w:t>
      </w:r>
    </w:p>
    <w:p>
      <w:pPr>
        <w:spacing w:after="80"/>
        <w:ind w:left="173" w:hanging="29"/>
      </w:pPr>
      <w:r>
        <w:rPr>
          <w:rFonts w:ascii="Arial Unicode MS" w:hAnsi="Arial Unicode MS"/>
        </w:rPr>
        <w:t xml:space="preserve">☐ </w:t>
      </w:r>
      <w:r>
        <w:t>Subscription confirm/ignore/snooze and reminders persist across restart.</w:t>
      </w:r>
    </w:p>
    <w:p>
      <w:pPr>
        <w:spacing w:after="80"/>
        <w:ind w:left="173" w:hanging="29"/>
      </w:pPr>
      <w:r>
        <w:rPr>
          <w:rFonts w:ascii="Arial Unicode MS" w:hAnsi="Arial Unicode MS"/>
        </w:rPr>
        <w:t xml:space="preserve">☐ </w:t>
      </w:r>
      <w:r>
        <w:t>Backup creation and restore work; retention leaves the last seven daily and four weekly backups.</w:t>
      </w:r>
    </w:p>
    <w:p>
      <w:pPr>
        <w:spacing w:after="80"/>
        <w:ind w:left="173" w:hanging="29"/>
      </w:pPr>
      <w:r>
        <w:rPr>
          <w:rFonts w:ascii="Arial Unicode MS" w:hAnsi="Arial Unicode MS"/>
        </w:rPr>
        <w:t xml:space="preserve">☐ </w:t>
      </w:r>
      <w:r>
        <w:t>Upgrade preserves SQLite data, encryption key, license, Gmail credentials, LLM credentials, and settings.</w:t>
      </w:r>
    </w:p>
    <w:p>
      <w:pPr>
        <w:spacing w:after="80"/>
        <w:ind w:left="173" w:hanging="29"/>
      </w:pPr>
      <w:r>
        <w:rPr>
          <w:rFonts w:ascii="Arial Unicode MS" w:hAnsi="Arial Unicode MS"/>
        </w:rPr>
        <w:t xml:space="preserve">☐ </w:t>
      </w:r>
      <w:r>
        <w:t>Rollback is documented and tested without corrupting data.</w:t>
      </w:r>
    </w:p>
    <w:p>
      <w:pPr>
        <w:spacing w:after="80"/>
        <w:ind w:left="173" w:hanging="29"/>
      </w:pPr>
      <w:r>
        <w:rPr>
          <w:rFonts w:ascii="Arial Unicode MS" w:hAnsi="Arial Unicode MS"/>
        </w:rPr>
        <w:t xml:space="preserve">☐ </w:t>
      </w:r>
      <w:r>
        <w:t>Uninstall behavior matches the documented data-retention promise.</w:t>
      </w:r>
    </w:p>
    <w:p>
      <w:pPr>
        <w:spacing w:after="80"/>
        <w:ind w:left="173" w:hanging="29"/>
      </w:pPr>
      <w:r>
        <w:rPr>
          <w:rFonts w:ascii="Arial Unicode MS" w:hAnsi="Arial Unicode MS"/>
        </w:rPr>
        <w:t xml:space="preserve">☐ </w:t>
      </w:r>
      <w:r>
        <w:t>Mobile LAN view, if enabled, has touch-sized targets and secure PIN entry.</w:t>
      </w:r>
    </w:p>
    <w:p>
      <w:pPr>
        <w:pStyle w:val="Heading2"/>
      </w:pPr>
      <w:r>
        <w:t>12.3 License acceptance</w:t>
      </w:r>
    </w:p>
    <w:p>
      <w:pPr>
        <w:spacing w:after="80"/>
        <w:ind w:left="173" w:hanging="29"/>
      </w:pPr>
      <w:r>
        <w:rPr>
          <w:rFonts w:ascii="Arial Unicode MS" w:hAnsi="Arial Unicode MS"/>
        </w:rPr>
        <w:t xml:space="preserve">☐ </w:t>
      </w:r>
      <w:r>
        <w:t>Valid key activates the correct edition and entitlements.</w:t>
      </w:r>
    </w:p>
    <w:p>
      <w:pPr>
        <w:spacing w:after="80"/>
        <w:ind w:left="173" w:hanging="29"/>
      </w:pPr>
      <w:r>
        <w:rPr>
          <w:rFonts w:ascii="Arial Unicode MS" w:hAnsi="Arial Unicode MS"/>
        </w:rPr>
        <w:t xml:space="preserve">☐ </w:t>
      </w:r>
      <w:r>
        <w:t>Invalid or modified key is rejected with a useful message.</w:t>
      </w:r>
    </w:p>
    <w:p>
      <w:pPr>
        <w:spacing w:after="80"/>
        <w:ind w:left="173" w:hanging="29"/>
      </w:pPr>
      <w:r>
        <w:rPr>
          <w:rFonts w:ascii="Arial Unicode MS" w:hAnsi="Arial Unicode MS"/>
        </w:rPr>
        <w:t xml:space="preserve">☐ </w:t>
      </w:r>
      <w:r>
        <w:t>Device limit is enforced without exposing a raw hardware identifier.</w:t>
      </w:r>
    </w:p>
    <w:p>
      <w:pPr>
        <w:spacing w:after="80"/>
        <w:ind w:left="173" w:hanging="29"/>
      </w:pPr>
      <w:r>
        <w:rPr>
          <w:rFonts w:ascii="Arial Unicode MS" w:hAnsi="Arial Unicode MS"/>
        </w:rPr>
        <w:t xml:space="preserve">☐ </w:t>
      </w:r>
      <w:r>
        <w:t>Offline grace works for the documented period.</w:t>
      </w:r>
    </w:p>
    <w:p>
      <w:pPr>
        <w:spacing w:after="80"/>
        <w:ind w:left="173" w:hanging="29"/>
      </w:pPr>
      <w:r>
        <w:rPr>
          <w:rFonts w:ascii="Arial Unicode MS" w:hAnsi="Arial Unicode MS"/>
        </w:rPr>
        <w:t xml:space="preserve">☐ </w:t>
      </w:r>
      <w:r>
        <w:t>Expired grace blocks only paid entitlements and preserves local data.</w:t>
      </w:r>
    </w:p>
    <w:p>
      <w:pPr>
        <w:spacing w:after="80"/>
        <w:ind w:left="173" w:hanging="29"/>
      </w:pPr>
      <w:r>
        <w:rPr>
          <w:rFonts w:ascii="Arial Unicode MS" w:hAnsi="Arial Unicode MS"/>
        </w:rPr>
        <w:t xml:space="preserve">☐ </w:t>
      </w:r>
      <w:r>
        <w:t>Re-verification succeeds after connectivity returns.</w:t>
      </w:r>
    </w:p>
    <w:p>
      <w:pPr>
        <w:spacing w:after="80"/>
        <w:ind w:left="173" w:hanging="29"/>
      </w:pPr>
      <w:r>
        <w:rPr>
          <w:rFonts w:ascii="Arial Unicode MS" w:hAnsi="Arial Unicode MS"/>
        </w:rPr>
        <w:t xml:space="preserve">☐ </w:t>
      </w:r>
      <w:r>
        <w:t>Deactivation/transfer and lost-key recovery match policy.</w:t>
      </w:r>
    </w:p>
    <w:p>
      <w:pPr>
        <w:spacing w:after="80"/>
        <w:ind w:left="173" w:hanging="29"/>
      </w:pPr>
      <w:r>
        <w:rPr>
          <w:rFonts w:ascii="Arial Unicode MS" w:hAnsi="Arial Unicode MS"/>
        </w:rPr>
        <w:t xml:space="preserve">☐ </w:t>
      </w:r>
      <w:r>
        <w:t>Website outage does not prevent Core usage or local access to user data.</w:t>
      </w:r>
    </w:p>
    <w:p>
      <w:pPr>
        <w:pStyle w:val="Heading2"/>
      </w:pPr>
      <w:r>
        <w:t>12.4 Website and commerce acceptance</w:t>
      </w:r>
    </w:p>
    <w:p>
      <w:pPr>
        <w:spacing w:after="80"/>
        <w:ind w:left="173" w:hanging="29"/>
      </w:pPr>
      <w:r>
        <w:rPr>
          <w:rFonts w:ascii="Arial Unicode MS" w:hAnsi="Arial Unicode MS"/>
        </w:rPr>
        <w:t xml:space="preserve">☐ </w:t>
      </w:r>
      <w:r>
        <w:t>Two test users cannot read each other’s purchases, licenses, or credit records under Supabase RLS.</w:t>
      </w:r>
    </w:p>
    <w:p>
      <w:pPr>
        <w:spacing w:after="80"/>
        <w:ind w:left="173" w:hanging="29"/>
      </w:pPr>
      <w:r>
        <w:rPr>
          <w:rFonts w:ascii="Arial Unicode MS" w:hAnsi="Arial Unicode MS"/>
        </w:rPr>
        <w:t xml:space="preserve">☐ </w:t>
      </w:r>
      <w:r>
        <w:t>Google sign-in returns to the correct production callback and logout ends the session.</w:t>
      </w:r>
    </w:p>
    <w:p>
      <w:pPr>
        <w:spacing w:after="80"/>
        <w:ind w:left="173" w:hanging="29"/>
      </w:pPr>
      <w:r>
        <w:rPr>
          <w:rFonts w:ascii="Arial Unicode MS" w:hAnsi="Arial Unicode MS"/>
        </w:rPr>
        <w:t xml:space="preserve">☐ </w:t>
      </w:r>
      <w:r>
        <w:t>Every visible feature claim is true for the shipped build.</w:t>
      </w:r>
    </w:p>
    <w:p>
      <w:pPr>
        <w:spacing w:after="80"/>
        <w:ind w:left="173" w:hanging="29"/>
      </w:pPr>
      <w:r>
        <w:rPr>
          <w:rFonts w:ascii="Arial Unicode MS" w:hAnsi="Arial Unicode MS"/>
        </w:rPr>
        <w:t xml:space="preserve">☐ </w:t>
      </w:r>
      <w:r>
        <w:t>Checkout always uses one-time payment mode and server-side product/amount selection.</w:t>
      </w:r>
    </w:p>
    <w:p>
      <w:pPr>
        <w:spacing w:after="80"/>
        <w:ind w:left="173" w:hanging="29"/>
      </w:pPr>
      <w:r>
        <w:rPr>
          <w:rFonts w:ascii="Arial Unicode MS" w:hAnsi="Arial Unicode MS"/>
        </w:rPr>
        <w:t xml:space="preserve">☐ </w:t>
      </w:r>
      <w:r>
        <w:t>A paid event provisions exactly one hashed license record and one delivery email.</w:t>
      </w:r>
    </w:p>
    <w:p>
      <w:pPr>
        <w:spacing w:after="80"/>
        <w:ind w:left="173" w:hanging="29"/>
      </w:pPr>
      <w:r>
        <w:rPr>
          <w:rFonts w:ascii="Arial Unicode MS" w:hAnsi="Arial Unicode MS"/>
        </w:rPr>
        <w:t xml:space="preserve">☐ </w:t>
      </w:r>
      <w:r>
        <w:t>License resend is owner-scoped and rate-limited.</w:t>
      </w:r>
    </w:p>
    <w:p>
      <w:pPr>
        <w:spacing w:after="80"/>
        <w:ind w:left="173" w:hanging="29"/>
      </w:pPr>
      <w:r>
        <w:rPr>
          <w:rFonts w:ascii="Arial Unicode MS" w:hAnsi="Arial Unicode MS"/>
        </w:rPr>
        <w:t xml:space="preserve">☐ </w:t>
      </w:r>
      <w:r>
        <w:t>Desktop verification sends only the license key, anonymous installation ID, and app version.</w:t>
      </w:r>
    </w:p>
    <w:p>
      <w:pPr>
        <w:spacing w:after="80"/>
        <w:ind w:left="173" w:hanging="29"/>
      </w:pPr>
      <w:r>
        <w:rPr>
          <w:rFonts w:ascii="Arial Unicode MS" w:hAnsi="Arial Unicode MS"/>
        </w:rPr>
        <w:t xml:space="preserve">☐ </w:t>
      </w:r>
      <w:r>
        <w:t>No desktop financial data, database, statement filename, PIN, Gmail token, or LLM key reaches website services or analytics.</w:t>
      </w:r>
    </w:p>
    <w:p>
      <w:pPr>
        <w:spacing w:after="80"/>
        <w:ind w:left="173" w:hanging="29"/>
      </w:pPr>
      <w:r>
        <w:rPr>
          <w:rFonts w:ascii="Arial Unicode MS" w:hAnsi="Arial Unicode MS"/>
        </w:rPr>
        <w:t xml:space="preserve">☐ </w:t>
      </w:r>
      <w:r>
        <w:t>Privacy, terms, docs, account, pricing, download, sitemap, robots, headers, and 404 pages work over HTTPS.</w:t>
      </w:r>
    </w:p>
    <w:p>
      <w:pPr>
        <w:pStyle w:val="Heading1"/>
      </w:pPr>
      <w:r>
        <w:t>13. Prepare final launch assets and operations</w:t>
      </w:r>
    </w:p>
    <w:p>
      <w:pPr>
        <w:pStyle w:val="ListNumber"/>
        <w:spacing w:after="80"/>
      </w:pPr>
      <w:r>
        <w:t>Use only the signed release candidate and synthetic/redacted data for screenshots and video.</w:t>
      </w:r>
    </w:p>
    <w:p>
      <w:pPr>
        <w:pStyle w:val="ListNumber"/>
        <w:spacing w:after="80"/>
      </w:pPr>
      <w:r>
        <w:t>Capture the real application UI: first run, import review, dashboard, cash-flow calendar, transfer match, FY export, privacy/settings, and pricing gate.</w:t>
      </w:r>
    </w:p>
    <w:p>
      <w:pPr>
        <w:pStyle w:val="ListNumber"/>
        <w:spacing w:after="80"/>
      </w:pPr>
      <w:r>
        <w:t>Record the 45–60 second GIF and five-minute walkthrough described in the launch kit.</w:t>
      </w:r>
    </w:p>
    <w:p>
      <w:pPr>
        <w:pStyle w:val="ListNumber"/>
        <w:spacing w:after="80"/>
      </w:pPr>
      <w:r>
        <w:t>Review every frame for names, emails, account numbers, file paths, license keys, notifications, browser bookmarks, and financial values.</w:t>
      </w:r>
    </w:p>
    <w:p>
      <w:pPr>
        <w:pStyle w:val="ListNumber"/>
        <w:spacing w:after="80"/>
      </w:pPr>
      <w:r>
        <w:t>Update website download buttons to immutable signed URLs and confirm platform detection does not hide manual alternatives.</w:t>
      </w:r>
    </w:p>
    <w:p>
      <w:pPr>
        <w:pStyle w:val="ListNumber"/>
        <w:spacing w:after="80"/>
      </w:pPr>
      <w:r>
        <w:t>Prepare support macros for install warnings, lost keys, device limits, refunds, unsupported statements, backup restore, and privacy requests.</w:t>
      </w:r>
    </w:p>
    <w:p>
      <w:pPr>
        <w:pStyle w:val="ListNumber"/>
        <w:spacing w:after="80"/>
      </w:pPr>
      <w:r>
        <w:t>Set monitoring for checkout errors, webhook failures, email bounces, license verification errors, download failures, refunds, and support volume—without collecting desktop telemetry.</w:t>
      </w:r>
    </w:p>
    <w:p>
      <w:pPr>
        <w:pStyle w:val="ListNumber"/>
        <w:spacing w:after="80"/>
      </w:pPr>
      <w:r>
        <w:t>If website analytics is enabled, obtain consent and track only aggregate storefront events. Never send license keys, emails, device hashes, statement names, or financial values.</w:t>
      </w:r>
    </w:p>
    <w:p>
      <w:pPr>
        <w:spacing w:after="80"/>
        <w:ind w:left="173" w:hanging="29"/>
      </w:pPr>
      <w:r>
        <w:rPr>
          <w:rFonts w:ascii="Arial Unicode MS" w:hAnsi="Arial Unicode MS"/>
        </w:rPr>
        <w:t xml:space="preserve">☐ </w:t>
      </w:r>
      <w:r>
        <w:t>All media uses real shipped UI, not AI-generated app screenshots.</w:t>
      </w:r>
    </w:p>
    <w:p>
      <w:pPr>
        <w:spacing w:after="80"/>
        <w:ind w:left="173" w:hanging="29"/>
      </w:pPr>
      <w:r>
        <w:rPr>
          <w:rFonts w:ascii="Arial Unicode MS" w:hAnsi="Arial Unicode MS"/>
        </w:rPr>
        <w:t xml:space="preserve">☐ </w:t>
      </w:r>
      <w:r>
        <w:t>Every asset passed privacy review.</w:t>
      </w:r>
    </w:p>
    <w:p>
      <w:pPr>
        <w:spacing w:after="80"/>
        <w:ind w:left="173" w:hanging="29"/>
      </w:pPr>
      <w:r>
        <w:rPr>
          <w:rFonts w:ascii="Arial Unicode MS" w:hAnsi="Arial Unicode MS"/>
        </w:rPr>
        <w:t xml:space="preserve">☐ </w:t>
      </w:r>
      <w:r>
        <w:t>Support owner and backup owner are on duty for launch.</w:t>
      </w:r>
    </w:p>
    <w:p>
      <w:pPr>
        <w:spacing w:after="80"/>
        <w:ind w:left="173" w:hanging="29"/>
      </w:pPr>
      <w:r>
        <w:rPr>
          <w:rFonts w:ascii="Arial Unicode MS" w:hAnsi="Arial Unicode MS"/>
        </w:rPr>
        <w:t xml:space="preserve">☐ </w:t>
      </w:r>
      <w:r>
        <w:t>Rollback and incident contacts are documented.</w:t>
      </w:r>
    </w:p>
    <w:p>
      <w:pPr>
        <w:pStyle w:val="Heading1"/>
      </w:pPr>
      <w:r>
        <w:t>14. Decide on repository protection</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FF4CE"/>
            <w:tcBorders>
              <w:left w:val="single" w:sz="18" w:color="D6A400"/>
            </w:tcBorders>
          </w:tcPr>
          <w:p>
            <w:pPr>
              <w:spacing w:after="80"/>
            </w:pPr>
            <w:r>
              <w:rPr>
                <w:b/>
                <w:color w:val="1F4D78"/>
              </w:rPr>
              <w:t>Current limitation</w:t>
            </w:r>
          </w:p>
          <w:p>
            <w:pPr>
              <w:spacing w:after="0"/>
            </w:pPr>
            <w:r>
              <w:t>Branch protection for a private repository may require an upgraded GitHub plan. This does not block development, but it weakens the safeguard against accidental direct pushes or deletion.</w:t>
            </w:r>
          </w:p>
        </w:tc>
      </w:tr>
    </w:tbl>
    <w:p>
      <w:pPr>
        <w:spacing w:after="80"/>
        <w:ind w:left="173" w:hanging="29"/>
      </w:pPr>
      <w:r>
        <w:rPr>
          <w:rFonts w:ascii="Arial Unicode MS" w:hAnsi="Arial Unicode MS"/>
        </w:rPr>
        <w:t xml:space="preserve">☐ </w:t>
      </w:r>
      <w:r>
        <w:t>Upgrade to a plan that supports private-repository branch protection, then require pull requests and passing checks.</w:t>
      </w:r>
    </w:p>
    <w:p>
      <w:pPr>
        <w:spacing w:after="80"/>
        <w:ind w:left="173" w:hanging="29"/>
      </w:pPr>
      <w:r>
        <w:rPr>
          <w:rFonts w:ascii="Arial Unicode MS" w:hAnsi="Arial Unicode MS"/>
        </w:rPr>
        <w:t xml:space="preserve">☐ </w:t>
      </w:r>
      <w:r>
        <w:t>Or formally accept the temporary risk and restrict admin access, require two-factor authentication, use CODEOWNERS/reviews, and keep verified backups.</w:t>
      </w:r>
    </w:p>
    <w:p>
      <w:pPr>
        <w:spacing w:after="100"/>
      </w:pPr>
      <w:r>
        <w:rPr>
          <w:b/>
        </w:rPr>
        <w:t xml:space="preserve">Decision: </w:t>
      </w:r>
      <w:r>
        <w:t>__________________________________________________________________</w:t>
      </w:r>
    </w:p>
    <w:p>
      <w:pPr>
        <w:spacing w:after="100"/>
      </w:pPr>
      <w:r>
        <w:rPr>
          <w:b/>
        </w:rPr>
        <w:t xml:space="preserve">Owner / date: </w:t>
      </w:r>
      <w:r>
        <w:t>__________________________________________________________________</w:t>
      </w:r>
    </w:p>
    <w:p>
      <w:pPr>
        <w:pStyle w:val="Heading1"/>
      </w:pPr>
      <w:r>
        <w:t>15. Final owner release gate</w:t>
      </w:r>
    </w:p>
    <w:tbl>
      <w:tblPr>
        <w:tblW w:type="auto" w:w="0"/>
        <w:jc w:val="center"/>
        <w:tblLayout w:type="fixed"/>
        <w:tblLook w:firstColumn="1" w:firstRow="1" w:lastColumn="0" w:lastRow="0" w:noHBand="0" w:noVBand="1" w:val="04A0"/>
      </w:tblPr>
      <w:tblGrid>
        <w:gridCol w:w="9360"/>
      </w:tblGrid>
      <w:tr>
        <w:trPr>
          <w:cantSplit/>
        </w:trPr>
        <w:tc>
          <w:tcPr>
            <w:tcW w:type="dxa" w:w="9360"/>
            <w:tcMar>
              <w:top w:w="140" w:type="dxa"/>
              <w:start w:w="180" w:type="dxa"/>
              <w:bottom w:w="140" w:type="dxa"/>
              <w:end w:w="180" w:type="dxa"/>
            </w:tcMar>
            <w:shd w:fill="FDECEC"/>
            <w:tcBorders>
              <w:left w:val="single" w:sz="18" w:color="C00000"/>
            </w:tcBorders>
          </w:tcPr>
          <w:p>
            <w:pPr>
              <w:spacing w:after="80"/>
            </w:pPr>
            <w:r>
              <w:rPr>
                <w:b/>
                <w:color w:val="1F4D78"/>
              </w:rPr>
              <w:t>No implied authorization</w:t>
            </w:r>
          </w:p>
          <w:p>
            <w:pPr>
              <w:spacing w:after="0"/>
            </w:pPr>
            <w:r>
              <w:t>Completing technical deployment does not authorize a public GitHub Release, Homebrew cask, Product Hunt post, Show HN post, social campaign, or customer payment launch. The owner must sign below after reviewing the exact production website and signed installers.</w:t>
            </w:r>
          </w:p>
        </w:tc>
      </w:tr>
    </w:tbl>
    <w:p>
      <w:pPr>
        <w:spacing w:after="80"/>
        <w:ind w:left="173" w:hanging="29"/>
      </w:pPr>
      <w:r>
        <w:rPr>
          <w:rFonts w:ascii="Arial Unicode MS" w:hAnsi="Arial Unicode MS"/>
        </w:rPr>
        <w:t xml:space="preserve">☐ </w:t>
      </w:r>
      <w:r>
        <w:t>Product scope and pricing are approved and truthful.</w:t>
      </w:r>
    </w:p>
    <w:p>
      <w:pPr>
        <w:spacing w:after="80"/>
        <w:ind w:left="173" w:hanging="29"/>
      </w:pPr>
      <w:r>
        <w:rPr>
          <w:rFonts w:ascii="Arial Unicode MS" w:hAnsi="Arial Unicode MS"/>
        </w:rPr>
        <w:t xml:space="preserve">☐ </w:t>
      </w:r>
      <w:r>
        <w:t>Legacy credentials are revoked or rotated.</w:t>
      </w:r>
    </w:p>
    <w:p>
      <w:pPr>
        <w:spacing w:after="80"/>
        <w:ind w:left="173" w:hanging="29"/>
      </w:pPr>
      <w:r>
        <w:rPr>
          <w:rFonts w:ascii="Arial Unicode MS" w:hAnsi="Arial Unicode MS"/>
        </w:rPr>
        <w:t xml:space="preserve">☐ </w:t>
      </w:r>
      <w:r>
        <w:t>Domain, seller identity, tax treatment, refunds, support, privacy, and terms are approved.</w:t>
      </w:r>
    </w:p>
    <w:p>
      <w:pPr>
        <w:spacing w:after="80"/>
        <w:ind w:left="173" w:hanging="29"/>
      </w:pPr>
      <w:r>
        <w:rPr>
          <w:rFonts w:ascii="Arial Unicode MS" w:hAnsi="Arial Unicode MS"/>
        </w:rPr>
        <w:t xml:space="preserve">☐ </w:t>
      </w:r>
      <w:r>
        <w:t>Stripe and Resend production acceptance tests pass.</w:t>
      </w:r>
    </w:p>
    <w:p>
      <w:pPr>
        <w:spacing w:after="80"/>
        <w:ind w:left="173" w:hanging="29"/>
      </w:pPr>
      <w:r>
        <w:rPr>
          <w:rFonts w:ascii="Arial Unicode MS" w:hAnsi="Arial Unicode MS"/>
        </w:rPr>
        <w:t xml:space="preserve">☐ </w:t>
      </w:r>
      <w:r>
        <w:t>License secret custody and recovery are verified.</w:t>
      </w:r>
    </w:p>
    <w:p>
      <w:pPr>
        <w:spacing w:after="80"/>
        <w:ind w:left="173" w:hanging="29"/>
      </w:pPr>
      <w:r>
        <w:rPr>
          <w:rFonts w:ascii="Arial Unicode MS" w:hAnsi="Arial Unicode MS"/>
        </w:rPr>
        <w:t xml:space="preserve">☐ </w:t>
      </w:r>
      <w:r>
        <w:t>macOS and Windows signatures verify; notarization passes.</w:t>
      </w:r>
    </w:p>
    <w:p>
      <w:pPr>
        <w:spacing w:after="80"/>
        <w:ind w:left="173" w:hanging="29"/>
      </w:pPr>
      <w:r>
        <w:rPr>
          <w:rFonts w:ascii="Arial Unicode MS" w:hAnsi="Arial Unicode MS"/>
        </w:rPr>
        <w:t xml:space="preserve">☐ </w:t>
      </w:r>
      <w:r>
        <w:t>R2 artifacts are immutable, checksummed, and downloadable.</w:t>
      </w:r>
    </w:p>
    <w:p>
      <w:pPr>
        <w:spacing w:after="80"/>
        <w:ind w:left="173" w:hanging="29"/>
      </w:pPr>
      <w:r>
        <w:rPr>
          <w:rFonts w:ascii="Arial Unicode MS" w:hAnsi="Arial Unicode MS"/>
        </w:rPr>
        <w:t xml:space="preserve">☐ </w:t>
      </w:r>
      <w:r>
        <w:t>Clean-device, upgrade, rollback, backup, license, and commerce matrices pass.</w:t>
      </w:r>
    </w:p>
    <w:p>
      <w:pPr>
        <w:spacing w:after="80"/>
        <w:ind w:left="173" w:hanging="29"/>
      </w:pPr>
      <w:r>
        <w:rPr>
          <w:rFonts w:ascii="Arial Unicode MS" w:hAnsi="Arial Unicode MS"/>
        </w:rPr>
        <w:t xml:space="preserve">☐ </w:t>
      </w:r>
      <w:r>
        <w:t>Final screenshots and video are from the shipped build and contain no private data.</w:t>
      </w:r>
    </w:p>
    <w:p>
      <w:pPr>
        <w:spacing w:after="80"/>
        <w:ind w:left="173" w:hanging="29"/>
      </w:pPr>
      <w:r>
        <w:rPr>
          <w:rFonts w:ascii="Arial Unicode MS" w:hAnsi="Arial Unicode MS"/>
        </w:rPr>
        <w:t xml:space="preserve">☐ </w:t>
      </w:r>
      <w:r>
        <w:t>A rollback owner, incident owner, and support owner are assigned.</w:t>
      </w:r>
    </w:p>
    <w:p>
      <w:pPr>
        <w:spacing w:after="80"/>
        <w:ind w:left="173" w:hanging="29"/>
      </w:pPr>
      <w:r>
        <w:rPr>
          <w:rFonts w:ascii="Arial Unicode MS" w:hAnsi="Arial Unicode MS"/>
        </w:rPr>
        <w:t xml:space="preserve">☐ </w:t>
      </w:r>
      <w:r>
        <w:t>The private repository and draft release have been reviewed.</w:t>
      </w:r>
    </w:p>
    <w:p/>
    <w:p>
      <w:pPr>
        <w:spacing w:after="100"/>
      </w:pPr>
      <w:r>
        <w:rPr>
          <w:b/>
        </w:rPr>
        <w:t xml:space="preserve">Authorized release version: </w:t>
      </w:r>
      <w:r>
        <w:t>__________________________________________________________________</w:t>
      </w:r>
    </w:p>
    <w:p>
      <w:pPr>
        <w:spacing w:after="100"/>
      </w:pPr>
      <w:r>
        <w:rPr>
          <w:b/>
        </w:rPr>
        <w:t xml:space="preserve">Production website URL: </w:t>
      </w:r>
      <w:r>
        <w:t>__________________________________________________________________</w:t>
      </w:r>
    </w:p>
    <w:p>
      <w:pPr>
        <w:spacing w:after="100"/>
      </w:pPr>
      <w:r>
        <w:rPr>
          <w:b/>
        </w:rPr>
        <w:t xml:space="preserve">Signed artifact manifest location: </w:t>
      </w:r>
      <w:r>
        <w:t>__________________________________________________________________</w:t>
      </w:r>
    </w:p>
    <w:p>
      <w:pPr>
        <w:spacing w:after="100"/>
      </w:pPr>
      <w:r>
        <w:rPr>
          <w:b/>
        </w:rPr>
        <w:t xml:space="preserve">Owner full name: </w:t>
      </w:r>
      <w:r>
        <w:t>__________________________________________________________________</w:t>
      </w:r>
    </w:p>
    <w:p>
      <w:pPr>
        <w:spacing w:after="100"/>
      </w:pPr>
      <w:r>
        <w:rPr>
          <w:b/>
        </w:rPr>
        <w:t xml:space="preserve">Owner signature: </w:t>
      </w:r>
      <w:r>
        <w:t>__________________________________________________________________</w:t>
      </w:r>
    </w:p>
    <w:p>
      <w:pPr>
        <w:spacing w:after="100"/>
      </w:pPr>
      <w:r>
        <w:rPr>
          <w:b/>
        </w:rPr>
        <w:t xml:space="preserve">Date and time (IST): </w:t>
      </w:r>
      <w:r>
        <w:t>__________________________________________________________________</w:t>
      </w:r>
    </w:p>
    <w:p>
      <w:pPr>
        <w:pStyle w:val="Heading1"/>
      </w:pPr>
      <w:r>
        <w:t>Completion record</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900"/>
            <w:shd w:fill="E8EEF5"/>
            <w:tcMar>
              <w:top w:w="80" w:type="dxa"/>
              <w:start w:w="120" w:type="dxa"/>
              <w:bottom w:w="80" w:type="dxa"/>
              <w:end w:w="120" w:type="dxa"/>
            </w:tcMar>
            <w:vAlign w:val="center"/>
          </w:tcPr>
          <w:p>
            <w:r>
              <w:rPr>
                <w:b/>
              </w:rPr>
              <w:t>Section</w:t>
            </w:r>
          </w:p>
        </w:tc>
        <w:tc>
          <w:tcPr>
            <w:tcW w:type="dxa" w:w="1740"/>
            <w:shd w:fill="E8EEF5"/>
            <w:tcMar>
              <w:top w:w="80" w:type="dxa"/>
              <w:start w:w="120" w:type="dxa"/>
              <w:bottom w:w="80" w:type="dxa"/>
              <w:end w:w="120" w:type="dxa"/>
            </w:tcMar>
            <w:vAlign w:val="center"/>
          </w:tcPr>
          <w:p>
            <w:r>
              <w:rPr>
                <w:b/>
              </w:rPr>
              <w:t>Owner</w:t>
            </w:r>
          </w:p>
        </w:tc>
        <w:tc>
          <w:tcPr>
            <w:tcW w:type="dxa" w:w="1260"/>
            <w:shd w:fill="E8EEF5"/>
            <w:tcMar>
              <w:top w:w="80" w:type="dxa"/>
              <w:start w:w="120" w:type="dxa"/>
              <w:bottom w:w="80" w:type="dxa"/>
              <w:end w:w="120" w:type="dxa"/>
            </w:tcMar>
            <w:vAlign w:val="center"/>
          </w:tcPr>
          <w:p>
            <w:r>
              <w:rPr>
                <w:b/>
              </w:rPr>
              <w:t>Completed</w:t>
            </w:r>
          </w:p>
        </w:tc>
        <w:tc>
          <w:tcPr>
            <w:tcW w:type="dxa" w:w="5460"/>
            <w:shd w:fill="E8EEF5"/>
            <w:tcMar>
              <w:top w:w="80" w:type="dxa"/>
              <w:start w:w="120" w:type="dxa"/>
              <w:bottom w:w="80" w:type="dxa"/>
              <w:end w:w="120" w:type="dxa"/>
            </w:tcMar>
            <w:vAlign w:val="center"/>
          </w:tcPr>
          <w:p>
            <w:r>
              <w:rPr>
                <w:b/>
              </w:rPr>
              <w:t>Evidence / notes</w:t>
            </w:r>
          </w:p>
        </w:tc>
      </w:tr>
      <w:tr>
        <w:tc>
          <w:tcPr>
            <w:tcW w:type="dxa" w:w="900"/>
            <w:tcMar>
              <w:top w:w="80" w:type="dxa"/>
              <w:start w:w="120" w:type="dxa"/>
              <w:bottom w:w="80" w:type="dxa"/>
              <w:end w:w="120" w:type="dxa"/>
            </w:tcMar>
            <w:vAlign w:val="center"/>
          </w:tcPr>
          <w:p>
            <w:r>
              <w:t>1</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2</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3</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4</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5</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6</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7</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8</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9</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10</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11</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12</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13</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14</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r>
        <w:tc>
          <w:tcPr>
            <w:tcW w:type="dxa" w:w="900"/>
            <w:tcMar>
              <w:top w:w="80" w:type="dxa"/>
              <w:start w:w="120" w:type="dxa"/>
              <w:bottom w:w="80" w:type="dxa"/>
              <w:end w:w="120" w:type="dxa"/>
            </w:tcMar>
            <w:vAlign w:val="center"/>
          </w:tcPr>
          <w:p>
            <w:r>
              <w:t>15</w:t>
            </w:r>
          </w:p>
        </w:tc>
        <w:tc>
          <w:tcPr>
            <w:tcW w:type="dxa" w:w="1740"/>
            <w:tcMar>
              <w:top w:w="80" w:type="dxa"/>
              <w:start w:w="120" w:type="dxa"/>
              <w:bottom w:w="80" w:type="dxa"/>
              <w:end w:w="120" w:type="dxa"/>
            </w:tcMar>
            <w:vAlign w:val="center"/>
          </w:tcPr>
          <w:p>
            <w:r/>
          </w:p>
        </w:tc>
        <w:tc>
          <w:tcPr>
            <w:tcW w:type="dxa" w:w="1260"/>
            <w:tcMar>
              <w:top w:w="80" w:type="dxa"/>
              <w:start w:w="120" w:type="dxa"/>
              <w:bottom w:w="80" w:type="dxa"/>
              <w:end w:w="120" w:type="dxa"/>
            </w:tcMar>
            <w:vAlign w:val="center"/>
          </w:tcPr>
          <w:p>
            <w:r>
              <w:t>☐</w:t>
            </w:r>
          </w:p>
        </w:tc>
        <w:tc>
          <w:tcPr>
            <w:tcW w:type="dxa" w:w="5460"/>
            <w:tcMar>
              <w:top w:w="80" w:type="dxa"/>
              <w:start w:w="120" w:type="dxa"/>
              <w:bottom w:w="80" w:type="dxa"/>
              <w:end w:w="120" w:type="dxa"/>
            </w:tcMar>
            <w:vAlign w:val="center"/>
          </w:tcPr>
          <w:p>
            <w:r/>
          </w:p>
        </w:tc>
      </w:tr>
    </w:tbl>
    <w:p/>
    <w:p>
      <w:pPr>
        <w:jc w:val="center"/>
      </w:pPr>
      <w:r>
        <w:rPr>
          <w:b/>
          <w:color w:val="5F6B75"/>
          <w:sz w:val="18"/>
        </w:rPr>
        <w:t>END OF PRIVATE OWNER RUNBOOK</w:t>
      </w:r>
    </w:p>
    <w:sectPr>
      <w:headerReference w:type="default" r:id="rId9"/>
      <w:footerReference w:type="default" r:id="rId10"/>
      <w:pgSz w:w="12240" w:h="15840"/>
      <w:pgMar w:top="1440"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5"/>
        <w:sz w:val="16"/>
      </w:rPr>
      <w:t xml:space="preserve">GODFIN Owner Completion Runbook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2E74B5"/>
        <w:sz w:val="16"/>
      </w:rPr>
      <w:t>GODFIN  /  PRIVATE OWNER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300" w:lineRule="auto"/>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80" w:line="300" w:lineRule="auto"/>
      <w:contextualSpacing/>
    </w:pPr>
    <w:rPr>
      <w:rFonts w:ascii="Calibri" w:hAnsi="Calibri"/>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Non-Supabase / Non-Vercel production launch blockers</dc:subject>
  <dc:creator/>
  <cp:keywords>GODFIN, private, production, launch, owner runbook</cp:keywords>
  <dc:description>Prepared for private owner use.</dc:description>
  <cp:lastModifiedBy/>
  <cp:revision>1</cp:revision>
  <dcterms:created xsi:type="dcterms:W3CDTF">2013-12-23T23:15:00Z</dcterms:created>
  <dcterms:modified xsi:type="dcterms:W3CDTF">2013-12-23T23:15:00Z</dcterms:modified>
  <cp:category/>
</cp:coreProperties>
</file>