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2.3  •  16 August 2026  •  oculusrex14/GODFIN (private)</w:t>
        <w:br/>
        <w:t>Production branch: codex/godfin-production-v5</w:t>
      </w:r>
    </w:p>
    <w:p>
      <w:pPr>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Complete sections in order. Each section ends with evidence that can be checked without revealing a secret.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Stripe,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Production remediation is tracked on the private v5 branch. The clean Python 3.12 baseline is 859 passing backend tests. Frontend lint, accessibility, authentication, and production builds pass; website contract and production builds pass; desktop release/update tests pass 12/12; and package privacy checks pass 7/7.</w:t>
      </w:r>
    </w:p>
    <w:p>
      <w:pPr>
        <w:keepLines/>
        <w:numPr>
          <w:ilvl w:val="0"/>
          <w:numId w:val="11"/>
        </w:numPr>
      </w:pPr>
      <w:r>
        <w:t>Private repository: https://github.com/oculusrex14/GODFIN</w:t>
      </w:r>
    </w:p>
    <w:p>
      <w:pPr>
        <w:keepLines/>
        <w:numPr>
          <w:ilvl w:val="0"/>
          <w:numId w:val="11"/>
        </w:numPr>
      </w:pPr>
      <w:r>
        <w:t>Production website: https://godfin.vercel.app</w:t>
      </w:r>
    </w:p>
    <w:p>
      <w:pPr>
        <w:keepLines/>
        <w:numPr>
          <w:ilvl w:val="0"/>
          <w:numId w:val="11"/>
        </w:numPr>
      </w:pPr>
      <w:r>
        <w:t>Supabase project: GODFIN (ap-south-1); migrations 0001–0003 match local history. Migration 0003 adds the non-revenue owner_test license kind without weakening normal three-device enforcement.</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Production deployment dpl_2dUiNiw38R9pqfsymPx7NWhpw7Ej is READY at godfin.vercel.app.</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Dependency surfaces are separated into runtime, test, and build locks. The Gmail API client is an explicit runtime dependency. All four JavaScript workspaces and both Python lock surfaces audit with no unaccepted known vulnerability; the qualified cryptography finding is documented in the signed evidence.</w:t>
      </w:r>
    </w:p>
    <w:p>
      <w:pPr>
        <w:keepLines/>
        <w:numPr>
          <w:ilvl w:val="0"/>
          <w:numId w:val="11"/>
        </w:numPr>
      </w:pPr>
      <w:r>
        <w:t>The deterministic CycloneDX 1.6 SBOM contains 1,008 unique components with zero unresolved license identifiers. Third-party notices list all conditional licenses. Final human legal clearance is intentionally fail-closed and remains pending in supply-chain/legal-clearance.json.</w:t>
      </w:r>
    </w:p>
    <w:p>
      <w:pPr>
        <w:keepLines/>
        <w:numPr>
          <w:ilvl w:val="0"/>
          <w:numId w:val="11"/>
        </w:numPr>
      </w:pPr>
      <w:r>
        <w:t>A fresh local macOS arm64 package was built from the locked toolchain. It starts in 2.916 seconds on first launch and 0.926 seconds on restart, preserves its database, enforces the local trust boundary, and remains below the 700 MB idle-memory budget at 605.6 MB. This is an ad-hoc local test signature, not an Apple-notarized customer release.</w:t>
      </w:r>
    </w:p>
    <w:p>
      <w:pPr>
        <w:keepLines/>
        <w:numPr>
          <w:ilvl w:val="0"/>
          <w:numId w:val="11"/>
        </w:numPr>
      </w:pPr>
      <w:r>
        <w:t>Release workflows require exact tag, commit, and package-version agreement; refuse an existing GitHub Release; publish deterministic SBOM, notices, checksums, and provenance; use immutable action SHAs; and require staged promotion plus a reviewed rollback path.</w:t>
      </w:r>
    </w:p>
    <w:p>
      <w:pPr>
        <w:keepLines/>
        <w:numPr>
          <w:ilvl w:val="0"/>
          <w:numId w:val="11"/>
        </w:numPr>
      </w:pPr>
      <w:r>
        <w:t>Repository evidence is current through commit 59c146a on codex/godfin-production-v5.</w:t>
      </w:r>
    </w:p>
    <w:p>
      <w:pPr>
        <w:keepLines/>
        <w:numPr>
          <w:ilvl w:val="0"/>
          <w:numId w:val="11"/>
        </w:numPr>
      </w:pPr>
      <w:r>
        <w:t>Desktop Gmail OAuth configuration, final browser-family verification, Stripe KYC/prices, Resend/DNS, custom domain, Apple/Windows certificates, R2, cross-platform clean-system evidence, dependency-license approval, and public-launch authorization are not yet complete.</w:t>
      </w:r>
    </w:p>
    <w:p>
      <w:pPr>
        <w:keepLines/>
        <w:numPr>
          <w:ilvl w:val="0"/>
          <w:numId w:val="11"/>
        </w:numPr>
      </w:pPr>
      <w:r>
        <w:t>Reward pilot, sponsor card, PPP checkout, and OpenDataLoader shipping remain safely feature-gated where applicable.</w:t>
      </w:r>
    </w:p>
    <w:p>
      <w:pPr>
        <w:keepLines/>
        <w:numPr>
          <w:ilvl w:val="0"/>
          <w:numId w:val="11"/>
        </w:numPr>
      </w:pPr>
      <w:r>
        <w:t>Nothing in this document authorizes a public release. Phase 6 starts only after explicit written public-launch authorization.</w:t>
      </w:r>
    </w:p>
    <w:p>
      <w:r>
        <w:br w:type="page"/>
      </w:r>
    </w:p>
    <w:p>
      <w:pPr>
        <w:pStyle w:val="Heading1"/>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Desktop Gmail OAuth</w:t>
            </w:r>
          </w:p>
        </w:tc>
        <w:tc>
          <w:tcPr>
            <w:tcW w:type="dxa" w:w="2100"/>
            <w:tcMar>
              <w:top w:w="80" w:type="dxa"/>
              <w:start w:w="120" w:type="dxa"/>
              <w:bottom w:w="80" w:type="dxa"/>
              <w:end w:w="120" w:type="dxa"/>
            </w:tcMar>
            <w:vAlign w:val="center"/>
          </w:tcPr>
          <w:p>
            <w:pPr>
              <w:spacing w:after="0"/>
            </w:pPr>
            <w:r>
              <w:rPr>
                <w:rFonts w:ascii="Calibri" w:hAnsi="Calibri"/>
                <w:color w:val="172033"/>
                <w:sz w:val="18"/>
              </w:rPr>
              <w:t>No owner desktop OAuth client is installed outside the repository.</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the separate read-only Gmail desktop client and store its JSON privately.</w:t>
            </w:r>
          </w:p>
        </w:tc>
        <w:tc>
          <w:tcPr>
            <w:tcW w:type="dxa" w:w="2760"/>
            <w:tcMar>
              <w:top w:w="80" w:type="dxa"/>
              <w:start w:w="120" w:type="dxa"/>
              <w:bottom w:w="80" w:type="dxa"/>
              <w:end w:w="120" w:type="dxa"/>
            </w:tcMar>
            <w:vAlign w:val="center"/>
          </w:tcPr>
          <w:p>
            <w:pPr>
              <w:spacing w:after="0"/>
            </w:pPr>
            <w:r>
              <w:rPr>
                <w:rFonts w:ascii="Calibri" w:hAnsi="Calibri"/>
                <w:color w:val="172033"/>
                <w:sz w:val="18"/>
              </w:rPr>
              <w:t>Connect, callback, status, sync, disconnect, and reauthorization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Dependency legal review</w:t>
            </w:r>
          </w:p>
        </w:tc>
        <w:tc>
          <w:tcPr>
            <w:tcW w:type="dxa" w:w="2100"/>
            <w:tcMar>
              <w:top w:w="80" w:type="dxa"/>
              <w:start w:w="120" w:type="dxa"/>
              <w:bottom w:w="80" w:type="dxa"/>
              <w:end w:w="120" w:type="dxa"/>
            </w:tcMar>
            <w:vAlign w:val="center"/>
          </w:tcPr>
          <w:p>
            <w:pPr>
              <w:spacing w:after="0"/>
            </w:pPr>
            <w:r>
              <w:rPr>
                <w:rFonts w:ascii="Calibri" w:hAnsi="Calibri"/>
                <w:color w:val="172033"/>
                <w:sz w:val="18"/>
              </w:rPr>
              <w:t>Automated license inventory is complete; human approval is not.</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conditional licenses and sign legal-clearance.json without changing evidence hashes.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Release gate reports approved and the signed record is archived.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Stripe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Keys, one-time Price IDs, and webhook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create test/live products and webhook.</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provisions once.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Custom domain</w:t>
            </w:r>
          </w:p>
        </w:tc>
        <w:tc>
          <w:tcPr>
            <w:tcW w:type="dxa" w:w="2100"/>
            <w:tcMar>
              <w:top w:w="80" w:type="dxa"/>
              <w:start w:w="120" w:type="dxa"/>
              <w:bottom w:w="80" w:type="dxa"/>
              <w:end w:w="120" w:type="dxa"/>
            </w:tcMar>
            <w:vAlign w:val="center"/>
          </w:tcPr>
          <w:p>
            <w:pPr>
              <w:spacing w:after="0"/>
            </w:pPr>
            <w:r>
              <w:rPr>
                <w:rFonts w:ascii="Calibri" w:hAnsi="Calibri"/>
                <w:color w:val="172033"/>
                <w:sz w:val="18"/>
              </w:rPr>
              <w:t>No Vercel domain is attached.</w:t>
            </w:r>
          </w:p>
        </w:tc>
        <w:tc>
          <w:tcPr>
            <w:tcW w:type="dxa" w:w="3000"/>
            <w:tcMar>
              <w:top w:w="80" w:type="dxa"/>
              <w:start w:w="120" w:type="dxa"/>
              <w:bottom w:w="80" w:type="dxa"/>
              <w:end w:w="120" w:type="dxa"/>
            </w:tcMar>
            <w:vAlign w:val="center"/>
          </w:tcPr>
          <w:p>
            <w:pPr>
              <w:spacing w:after="0"/>
            </w:pPr>
            <w:r>
              <w:rPr>
                <w:rFonts w:ascii="Calibri" w:hAnsi="Calibri"/>
                <w:color w:val="172033"/>
                <w:sz w:val="18"/>
              </w:rPr>
              <w:t>Register/control godfin.dev and connect DNS.</w:t>
            </w:r>
          </w:p>
        </w:tc>
        <w:tc>
          <w:tcPr>
            <w:tcW w:type="dxa" w:w="2760"/>
            <w:tcMar>
              <w:top w:w="80" w:type="dxa"/>
              <w:start w:w="120" w:type="dxa"/>
              <w:bottom w:w="80" w:type="dxa"/>
              <w:end w:w="120" w:type="dxa"/>
            </w:tcMar>
            <w:vAlign w:val="center"/>
          </w:tcPr>
          <w:p>
            <w:pPr>
              <w:spacing w:after="0"/>
            </w:pPr>
            <w:r>
              <w:rPr>
                <w:rFonts w:ascii="Calibri" w:hAnsi="Calibri"/>
                <w:color w:val="172033"/>
                <w:sz w:val="18"/>
              </w:rPr>
              <w:t>HTTPS apex and redirect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arm64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Browser matrix</w:t>
            </w:r>
          </w:p>
        </w:tc>
        <w:tc>
          <w:tcPr>
            <w:tcW w:type="dxa" w:w="2100"/>
            <w:tcMar>
              <w:top w:w="80" w:type="dxa"/>
              <w:start w:w="120" w:type="dxa"/>
              <w:bottom w:w="80" w:type="dxa"/>
              <w:end w:w="120" w:type="dxa"/>
            </w:tcMar>
            <w:vAlign w:val="center"/>
          </w:tcPr>
          <w:p>
            <w:pPr>
              <w:spacing w:after="0"/>
            </w:pPr>
            <w:r>
              <w:rPr>
                <w:rFonts w:ascii="Calibri" w:hAnsi="Calibri"/>
                <w:color w:val="172033"/>
                <w:sz w:val="18"/>
              </w:rPr>
              <w:t>Provider-backed browser checks are deferred to the final tranche.</w:t>
            </w:r>
          </w:p>
        </w:tc>
        <w:tc>
          <w:tcPr>
            <w:tcW w:type="dxa" w:w="3000"/>
            <w:tcMar>
              <w:top w:w="80" w:type="dxa"/>
              <w:start w:w="120" w:type="dxa"/>
              <w:bottom w:w="80" w:type="dxa"/>
              <w:end w:w="120" w:type="dxa"/>
            </w:tcMar>
            <w:vAlign w:val="center"/>
          </w:tcPr>
          <w:p>
            <w:pPr>
              <w:spacing w:after="0"/>
            </w:pPr>
            <w:r>
              <w:rPr>
                <w:rFonts w:ascii="Calibri" w:hAnsi="Calibri"/>
                <w:color w:val="172033"/>
                <w:sz w:val="18"/>
              </w:rPr>
              <w:t>Run supported Chrome, Safari, Firefox, and Edge acceptance flows.</w:t>
            </w:r>
          </w:p>
        </w:tc>
        <w:tc>
          <w:tcPr>
            <w:tcW w:type="dxa" w:w="2760"/>
            <w:tcMar>
              <w:top w:w="80" w:type="dxa"/>
              <w:start w:w="120" w:type="dxa"/>
              <w:bottom w:w="80" w:type="dxa"/>
              <w:end w:w="120" w:type="dxa"/>
            </w:tcMar>
            <w:vAlign w:val="center"/>
          </w:tcPr>
          <w:p>
            <w:pPr>
              <w:spacing w:after="0"/>
            </w:pPr>
            <w:r>
              <w:rPr>
                <w:rFonts w:ascii="Calibri" w:hAnsi="Calibri"/>
                <w:color w:val="172033"/>
                <w:sz w:val="18"/>
              </w:rPr>
              <w:t>Screenshots, traces, accessibility, and isolation evidence are archived.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r>
        <w:br w:type="page"/>
      </w:r>
    </w:p>
    <w:p>
      <w:pPr>
        <w:pStyle w:val="Heading1"/>
      </w:pPr>
      <w:r>
        <w:t>1. Google OAuth through Supabase</w:t>
      </w:r>
    </w:p>
    <w:p>
      <w:pPr>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https://godfin.vercel.app now; add https://godfin.dev and https://www.godfin.dev after domain connection.</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https://godfin.vercel.app until the custom domain is live.</w:t>
      </w:r>
    </w:p>
    <w:p>
      <w:pPr>
        <w:keepLines/>
        <w:numPr>
          <w:ilvl w:val="0"/>
          <w:numId w:val="10"/>
        </w:numPr>
      </w:pPr>
      <w:r>
        <w:t>Add https://godfin.vercel.app/auth/callback to the redirect allow-list. Later add https://godfin.dev/auth/callback and switch the Site URL to the custom domain.</w:t>
      </w:r>
    </w:p>
    <w:p>
      <w:pPr>
        <w:keepLines/>
        <w:numPr>
          <w:ilvl w:val="0"/>
          <w:numId w:val="10"/>
        </w:numPr>
      </w:pPr>
      <w:r>
        <w:t>Enable the Google provider and save.</w:t>
      </w:r>
    </w:p>
    <w:p>
      <w:pPr>
        <w:keepLines/>
        <w:numPr>
          <w:ilvl w:val="0"/>
          <w:numId w:val="10"/>
        </w:numPr>
      </w:pPr>
      <w:r>
        <w:t>Open https://godfin.vercel.app/account in a private browser window, choose Google, complete consent, and verify return to /account.</w:t>
      </w:r>
    </w:p>
    <w:p>
      <w:pPr>
        <w:keepLines/>
        <w:numPr>
          <w:ilvl w:val="0"/>
          <w:numId w:val="10"/>
        </w:numPr>
      </w:pPr>
      <w:r>
        <w:t>Sign out and repeat with a second test Google account.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production origin is https://godfin.vercel.app, the Supabase callback is https://omrtkfwjauyakhvynutk.supabase.co/auth/v1/callback, and the website callback is https://godfin.vercel.app/auth/callback.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2"/>
      </w:pPr>
      <w:r>
        <w:t>1.3 Desktop Gmail OAuth for local ingestion</w:t>
      </w:r>
    </w:p>
    <w:p>
      <w:pPr>
        <w:spacing w:before="100" w:after="160" w:line="288" w:lineRule="auto"/>
        <w:ind w:left="115" w:right="115"/>
        <w:shd w:fill="FFF4D8"/>
        <w:pBdr>
          <w:left w:val="single" w:sz="18" w:space="8" w:color="7A5A00"/>
        </w:pBdr>
      </w:pPr>
      <w:r>
        <w:rPr>
          <w:rFonts w:ascii="Calibri" w:hAnsi="Calibri"/>
          <w:b/>
          <w:color w:val="7A5A00"/>
          <w:sz w:val="21"/>
        </w:rPr>
        <w:t xml:space="preserve">SEPARATE CLIENT AND SCOPE  </w:t>
      </w:r>
      <w:r>
        <w:rPr>
          <w:rFonts w:ascii="Calibri" w:hAnsi="Calibri"/>
          <w:color w:val="172033"/>
          <w:sz w:val="21"/>
        </w:rPr>
        <w:t>This is not the website Google login. Create a dedicated OAuth client of type Desktop app and request only https://www.googleapis.com/auth/gmail.readonly. GODFIN cannot send, edit, or delete email through this integration.</w:t>
      </w:r>
    </w:p>
    <w:p>
      <w:pPr>
        <w:keepLines/>
        <w:numPr>
          <w:ilvl w:val="0"/>
          <w:numId w:val="10"/>
        </w:numPr>
      </w:pPr>
      <w:r>
        <w:t>In a business-owned Google Cloud project dedicated to GODFIN Desktop Gmail, enable the Gmail API and configure the OAuth consent screen. Keep its client, scopes, and consent records separate from the GODFIN Website web client.</w:t>
      </w:r>
    </w:p>
    <w:p>
      <w:pPr>
        <w:keepLines/>
        <w:numPr>
          <w:ilvl w:val="0"/>
          <w:numId w:val="10"/>
        </w:numPr>
      </w:pPr>
      <w:r>
        <w:t>Create an OAuth 2.0 Client ID of type Desktop app. Download the JSON and confirm its top-level object is installed and contains client_id and client_secret. Do not use a Web application JSON file.</w:t>
      </w:r>
    </w:p>
    <w:p>
      <w:pPr>
        <w:keepLines/>
        <w:numPr>
          <w:ilvl w:val="0"/>
          <w:numId w:val="10"/>
        </w:numPr>
      </w:pPr>
      <w:r>
        <w:t>The local callback is http://127.0.0.1:5100/api/v1/auth/gmail/callback. GODFIN binds the backend to localhost by default; do not expose this callback or backend to the public internet.</w:t>
      </w:r>
    </w:p>
    <w:p>
      <w:pPr>
        <w:keepLines/>
        <w:numPr>
          <w:ilvl w:val="0"/>
          <w:numId w:val="10"/>
        </w:numPr>
      </w:pPr>
      <w:r>
        <w:t>Move the downloaded JSON outside the repository into an owner-controlled Application Support location. Point GODFIN_GMAIL_CLIENT_SECRETS_FILE to that absolute file. For development only, backend/data/client_secret.json is supported but must remain ignored and must never be committed, attached, or shared.</w:t>
      </w:r>
    </w:p>
    <w:p>
      <w:pPr>
        <w:keepLines/>
        <w:numPr>
          <w:ilvl w:val="0"/>
          <w:numId w:val="10"/>
        </w:numPr>
      </w:pPr>
      <w:r>
        <w:t>Alternatively set GOOGLE_CLIENT_ID and GOOGLE_CLIENT_SECRET in the private local process environment. Never put either value in source files, screenshots, this runbook, terminal history, or chat.</w:t>
      </w:r>
    </w:p>
    <w:p>
      <w:pPr>
        <w:keepLines/>
        <w:numPr>
          <w:ilvl w:val="0"/>
          <w:numId w:val="10"/>
        </w:numPr>
      </w:pPr>
      <w:r>
        <w:t>Start GODFIN, open Settings, choose Connect Gmail, and review the Google consent screen. It must show read-only Gmail access and no send, modify, delete, contacts, Drive, calendar, or broad Google account scope.</w:t>
      </w:r>
    </w:p>
    <w:p>
      <w:pPr>
        <w:keepLines/>
        <w:numPr>
          <w:ilvl w:val="0"/>
          <w:numId w:val="10"/>
        </w:numPr>
      </w:pPr>
      <w:r>
        <w:t>Complete the localhost callback. Verify Settings changes to connected, run the initial sync against a test mailbox, and confirm imports are assigned only to configured active account routes.</w:t>
      </w:r>
    </w:p>
    <w:p>
      <w:pPr>
        <w:keepLines/>
        <w:numPr>
          <w:ilvl w:val="0"/>
          <w:numId w:val="10"/>
        </w:numPr>
      </w:pPr>
      <w:r>
        <w:t>Disconnect Gmail, confirm the local token is removed, then reconnect and verify reauthorization. Tokens are encrypted in local SQLite using GODFIN's stable local key; OAuth state is hashed, installation-bound, expiring, PKCE-protected, and single-use.</w:t>
      </w:r>
    </w:p>
    <w:p>
      <w:pPr>
        <w:keepLines/>
        <w:numPr>
          <w:ilvl w:val="0"/>
          <w:numId w:val="10"/>
        </w:numPr>
      </w:pPr>
      <w:r>
        <w:t>If Google keeps the app in Testing, add each intended test mailbox as a test user and record the expiry/re-consent implications. Complete Google verification before inviting general customers if the provider requires it for the read-only scope.</w:t>
      </w:r>
    </w:p>
    <w:p>
      <w:pPr>
        <w:keepLines/>
        <w:numPr>
          <w:ilvl w:val="0"/>
          <w:numId w:val="12"/>
        </w:numPr>
      </w:pPr>
      <w:r>
        <w:t>Dedicated Desktop app client exists; the website client is not reused.</w:t>
      </w:r>
    </w:p>
    <w:p>
      <w:pPr>
        <w:keepLines/>
        <w:numPr>
          <w:ilvl w:val="0"/>
          <w:numId w:val="12"/>
        </w:numPr>
      </w:pPr>
      <w:r>
        <w:t>Only gmail.readonly appears on the consent screen.</w:t>
      </w:r>
    </w:p>
    <w:p>
      <w:pPr>
        <w:keepLines/>
        <w:numPr>
          <w:ilvl w:val="0"/>
          <w:numId w:val="12"/>
        </w:numPr>
      </w:pPr>
      <w:r>
        <w:t>The downloaded client JSON is outside the repository and protected by owner-only permissions.</w:t>
      </w:r>
    </w:p>
    <w:p>
      <w:pPr>
        <w:keepLines/>
        <w:numPr>
          <w:ilvl w:val="0"/>
          <w:numId w:val="12"/>
        </w:numPr>
      </w:pPr>
      <w:r>
        <w:t>Connect, localhost callback, connected status, initial sync, disconnect, and reauthorization pass.</w:t>
      </w:r>
    </w:p>
    <w:p>
      <w:pPr>
        <w:keepLines/>
        <w:numPr>
          <w:ilvl w:val="0"/>
          <w:numId w:val="12"/>
        </w:numPr>
      </w:pPr>
      <w:r>
        <w:t>No client secret or token appears in Git, logs, screenshots, chat, or the packaged application.</w:t>
      </w:r>
    </w:p>
    <w:p>
      <w:pPr>
        <w:pStyle w:val="RunbookCaption"/>
      </w:pPr>
      <w:r>
        <w:t xml:space="preserve">Official reference: </w:t>
      </w:r>
      <w:hyperlink r:id="rId12">
        <w:r>
          <w:rPr>
            <w:color w:val="2E74B5"/>
            <w:u w:val="single"/>
          </w:rPr>
          <w:t>Google Gmail API Python quickstart</w:t>
        </w:r>
      </w:hyperlink>
    </w:p>
    <w:p>
      <w:pPr>
        <w:spacing w:after="80"/>
      </w:pPr>
      <w:r>
        <w:rPr>
          <w:b/>
        </w:rPr>
        <w:t xml:space="preserve">Google Cloud project name: </w:t>
      </w:r>
      <w:r>
        <w:t>__________________________________________________________________________</w:t>
      </w:r>
    </w:p>
    <w:p>
      <w:pPr>
        <w:spacing w:after="80"/>
      </w:pPr>
      <w:r>
        <w:rPr>
          <w:b/>
        </w:rPr>
        <w:t xml:space="preserve">Desktop OAuth client name: </w:t>
      </w:r>
      <w:r>
        <w:t>__________________________________________________________________________</w:t>
      </w:r>
    </w:p>
    <w:p>
      <w:pPr>
        <w:spacing w:after="80"/>
      </w:pPr>
      <w:r>
        <w:rPr>
          <w:b/>
        </w:rPr>
        <w:t xml:space="preserve">Test mailbox: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Stripe India: one-time payments only</w:t>
      </w:r>
    </w:p>
    <w:p>
      <w:pPr>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Create one-time prices and Checkout mode=payment only. Pro and Max include zero hosted AI credits. Credit packs are separate one-time purchases. Never create a subscription, trial, recurring price, or monthly allowance.</w:t>
      </w:r>
    </w:p>
    <w:p>
      <w:pPr>
        <w:pStyle w:val="Heading2"/>
      </w:pPr>
      <w:r>
        <w:t>2.1 Complete the business account</w:t>
      </w:r>
    </w:p>
    <w:p>
      <w:pPr>
        <w:keepLines/>
        <w:numPr>
          <w:ilvl w:val="0"/>
          <w:numId w:val="10"/>
        </w:numPr>
      </w:pPr>
      <w:r>
        <w:t>Use a Stripe account owned by the legal seller. Complete India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Stripe and your tax adviser that the account may sell one-time software licenses domestically and internationally, and how GST/invoices/refunds must be handled.</w:t>
      </w:r>
    </w:p>
    <w:p>
      <w:pPr>
        <w:keepLines/>
        <w:numPr>
          <w:ilvl w:val="0"/>
          <w:numId w:val="10"/>
        </w:numPr>
      </w:pPr>
      <w:r>
        <w:t>Enable Radar’s supported payment-fraud controls. Do not build hardware serial, persistent IP fingerprint, or payment-method fingerprint storage in GODFIN.</w:t>
      </w:r>
    </w:p>
    <w:p>
      <w:pPr>
        <w:pStyle w:val="Heading2"/>
      </w:pPr>
      <w:r>
        <w:t>2.2 Create test products and prices</w:t>
      </w:r>
    </w:p>
    <w:tbl>
      <w:tblPr>
        <w:tblStyle w:val="TableGrid"/>
        <w:tblW w:type="dxa" w:w="9360"/>
        <w:tblLayout w:type="fixed"/>
        <w:tblLook w:firstColumn="1" w:firstRow="1" w:lastColumn="0" w:lastRow="0" w:noHBand="0" w:noVBand="1" w:val="04A0"/>
        <w:tblInd w:w="120" w:type="dxa"/>
      </w:tblPr>
      <w:tblGrid>
        <w:gridCol w:w="2600"/>
        <w:gridCol w:w="3100"/>
        <w:gridCol w:w="1100"/>
        <w:gridCol w:w="2560"/>
      </w:tblGrid>
      <w:tr>
        <w:trPr>
          <w:tblHeader w:val="true"/>
        </w:trPr>
        <w:tc>
          <w:tcPr>
            <w:tcW w:type="dxa" w:w="2600"/>
            <w:shd w:fill="E8EEF5"/>
            <w:tcMar>
              <w:top w:w="80" w:type="dxa"/>
              <w:start w:w="120" w:type="dxa"/>
              <w:bottom w:w="80" w:type="dxa"/>
              <w:end w:w="120" w:type="dxa"/>
            </w:tcMar>
            <w:vAlign w:val="center"/>
          </w:tcPr>
          <w:p>
            <w:pPr>
              <w:spacing w:after="0"/>
            </w:pPr>
            <w:r>
              <w:rPr>
                <w:rFonts w:ascii="Calibri" w:hAnsi="Calibri"/>
                <w:b/>
                <w:color w:val="163A5F"/>
                <w:sz w:val="19"/>
              </w:rPr>
              <w:t>Environment variable</w:t>
            </w:r>
          </w:p>
        </w:tc>
        <w:tc>
          <w:tcPr>
            <w:tcW w:type="dxa" w:w="3100"/>
            <w:shd w:fill="E8EEF5"/>
            <w:tcMar>
              <w:top w:w="80" w:type="dxa"/>
              <w:start w:w="120" w:type="dxa"/>
              <w:bottom w:w="80" w:type="dxa"/>
              <w:end w:w="120" w:type="dxa"/>
            </w:tcMar>
            <w:vAlign w:val="center"/>
          </w:tcPr>
          <w:p>
            <w:pPr>
              <w:spacing w:after="0"/>
            </w:pPr>
            <w:r>
              <w:rPr>
                <w:rFonts w:ascii="Calibri" w:hAnsi="Calibri"/>
                <w:b/>
                <w:color w:val="163A5F"/>
                <w:sz w:val="19"/>
              </w:rPr>
              <w:t>Product</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Currency</w:t>
            </w:r>
          </w:p>
        </w:tc>
        <w:tc>
          <w:tcPr>
            <w:tcW w:type="dxa" w:w="2560"/>
            <w:shd w:fill="E8EEF5"/>
            <w:tcMar>
              <w:top w:w="80" w:type="dxa"/>
              <w:start w:w="120" w:type="dxa"/>
              <w:bottom w:w="80" w:type="dxa"/>
              <w:end w:w="120" w:type="dxa"/>
            </w:tcMar>
            <w:vAlign w:val="center"/>
          </w:tcPr>
          <w:p>
            <w:pPr>
              <w:spacing w:after="0"/>
            </w:pPr>
            <w:r>
              <w:rPr>
                <w:rFonts w:ascii="Calibri" w:hAnsi="Calibri"/>
                <w:b/>
                <w:color w:val="163A5F"/>
                <w:sz w:val="19"/>
              </w:rPr>
              <w:t>Exact one-time amount</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STRIPE_PRICE_PRO</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Pro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₹4,999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STRIPE_PRICE_MAX</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Max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₹9,999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STRIPE_PRICE_PRO_US</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Pro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USD</w:t>
            </w:r>
          </w:p>
        </w:tc>
        <w:tc>
          <w:tcPr>
            <w:tcW w:type="dxa" w:w="2560"/>
            <w:tcMar>
              <w:top w:w="80" w:type="dxa"/>
              <w:start w:w="120" w:type="dxa"/>
              <w:bottom w:w="80" w:type="dxa"/>
              <w:end w:w="120" w:type="dxa"/>
            </w:tcMar>
            <w:vAlign w:val="center"/>
          </w:tcPr>
          <w:p>
            <w:pPr>
              <w:spacing w:after="0"/>
            </w:pPr>
            <w:r>
              <w:rPr>
                <w:rFonts w:ascii="Calibri" w:hAnsi="Calibri"/>
                <w:color w:val="172033"/>
                <w:sz w:val="18"/>
              </w:rPr>
              <w:t>$99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STRIPE_PRICE_MAX_US</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Max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USD</w:t>
            </w:r>
          </w:p>
        </w:tc>
        <w:tc>
          <w:tcPr>
            <w:tcW w:type="dxa" w:w="2560"/>
            <w:tcMar>
              <w:top w:w="80" w:type="dxa"/>
              <w:start w:w="120" w:type="dxa"/>
              <w:bottom w:w="80" w:type="dxa"/>
              <w:end w:w="120" w:type="dxa"/>
            </w:tcMar>
            <w:vAlign w:val="center"/>
          </w:tcPr>
          <w:p>
            <w:pPr>
              <w:spacing w:after="0"/>
            </w:pPr>
            <w:r>
              <w:rPr>
                <w:rFonts w:ascii="Calibri" w:hAnsi="Calibri"/>
                <w:color w:val="172033"/>
                <w:sz w:val="18"/>
              </w:rPr>
              <w:t>$199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STRIPE_PRICE_CREDITS_STARTER</w:t>
            </w:r>
          </w:p>
        </w:tc>
        <w:tc>
          <w:tcPr>
            <w:tcW w:type="dxa" w:w="3100"/>
            <w:tcMar>
              <w:top w:w="80" w:type="dxa"/>
              <w:start w:w="120" w:type="dxa"/>
              <w:bottom w:w="80" w:type="dxa"/>
              <w:end w:w="120" w:type="dxa"/>
            </w:tcMar>
            <w:vAlign w:val="center"/>
          </w:tcPr>
          <w:p>
            <w:pPr>
              <w:spacing w:after="0"/>
            </w:pPr>
            <w:r>
              <w:rPr>
                <w:rFonts w:ascii="Calibri" w:hAnsi="Calibri"/>
                <w:color w:val="172033"/>
                <w:sz w:val="18"/>
              </w:rPr>
              <w:t>500 hosted credits</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₹249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STRIPE_PRICE_CREDITS_REGULAR</w:t>
            </w:r>
          </w:p>
        </w:tc>
        <w:tc>
          <w:tcPr>
            <w:tcW w:type="dxa" w:w="3100"/>
            <w:tcMar>
              <w:top w:w="80" w:type="dxa"/>
              <w:start w:w="120" w:type="dxa"/>
              <w:bottom w:w="80" w:type="dxa"/>
              <w:end w:w="120" w:type="dxa"/>
            </w:tcMar>
            <w:vAlign w:val="center"/>
          </w:tcPr>
          <w:p>
            <w:pPr>
              <w:spacing w:after="0"/>
            </w:pPr>
            <w:r>
              <w:rPr>
                <w:rFonts w:ascii="Calibri" w:hAnsi="Calibri"/>
                <w:color w:val="172033"/>
                <w:sz w:val="18"/>
              </w:rPr>
              <w:t>1,200 hosted credits</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₹499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STRIPE_PRICE_CREDITS_POWER</w:t>
            </w:r>
          </w:p>
        </w:tc>
        <w:tc>
          <w:tcPr>
            <w:tcW w:type="dxa" w:w="3100"/>
            <w:tcMar>
              <w:top w:w="80" w:type="dxa"/>
              <w:start w:w="120" w:type="dxa"/>
              <w:bottom w:w="80" w:type="dxa"/>
              <w:end w:w="120" w:type="dxa"/>
            </w:tcMar>
            <w:vAlign w:val="center"/>
          </w:tcPr>
          <w:p>
            <w:pPr>
              <w:spacing w:after="0"/>
            </w:pPr>
            <w:r>
              <w:rPr>
                <w:rFonts w:ascii="Calibri" w:hAnsi="Calibri"/>
                <w:color w:val="172033"/>
                <w:sz w:val="18"/>
              </w:rPr>
              <w:t>3,000 hosted credits</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₹999</w:t>
            </w:r>
          </w:p>
        </w:tc>
      </w:tr>
    </w:tbl>
    <w:p>
      <w:pPr>
        <w:spacing w:after="20"/>
      </w:pPr>
    </w:p>
    <w:p>
      <w:pPr>
        <w:keepLines/>
        <w:numPr>
          <w:ilvl w:val="0"/>
          <w:numId w:val="10"/>
        </w:numPr>
      </w:pPr>
      <w:r>
        <w:t>Create every Price as one-time. Keep Test and Live Price IDs separate.</w:t>
      </w:r>
    </w:p>
    <w:p>
      <w:pPr>
        <w:keepLines/>
        <w:numPr>
          <w:ilvl w:val="0"/>
          <w:numId w:val="10"/>
        </w:numPr>
      </w:pPr>
      <w:r>
        <w:t>Add test Price IDs to Vercel Preview first. Add live Price IDs to Production only after all test-mode acceptance checks pass.</w:t>
      </w:r>
    </w:p>
    <w:p>
      <w:pPr>
        <w:keepLines/>
        <w:numPr>
          <w:ilvl w:val="0"/>
          <w:numId w:val="10"/>
        </w:numPr>
      </w:pPr>
      <w:r>
        <w:t>Leave PPP_CHECKOUT_ENABLED=false until US test checkout and country selection are verified. India remains the safe default.</w:t>
      </w:r>
    </w:p>
    <w:p>
      <w:pPr>
        <w:keepLines/>
        <w:numPr>
          <w:ilvl w:val="0"/>
          <w:numId w:val="10"/>
        </w:numPr>
      </w:pPr>
      <w:r>
        <w:t>For each new country, use a manual Stripe Price table based on the approved World Bank ICP price-level adjustment, clamped to 0.55–1.25 of the US anchor. Record the source year and approval; recalculate annually.</w:t>
      </w:r>
    </w:p>
    <w:p>
      <w:pPr>
        <w:keepLines/>
        <w:numPr>
          <w:ilvl w:val="0"/>
          <w:numId w:val="10"/>
        </w:numPr>
      </w:pPr>
      <w:r>
        <w:t>Do not let browser-supplied amounts reach Stripe. GODFIN already selects product, country, price ID, and expected amount server-side.</w:t>
      </w:r>
    </w:p>
    <w:p>
      <w:pPr>
        <w:pStyle w:val="Heading2"/>
      </w:pPr>
      <w:r>
        <w:t>2.3 Configure the webhook</w:t>
      </w:r>
    </w:p>
    <w:p>
      <w:pPr>
        <w:keepLines/>
        <w:numPr>
          <w:ilvl w:val="0"/>
          <w:numId w:val="10"/>
        </w:numPr>
      </w:pPr>
      <w:r>
        <w:t>Create a Test webhook endpoint at https://godfin.vercel.app/api/webhook.</w:t>
      </w:r>
    </w:p>
    <w:p>
      <w:pPr>
        <w:keepLines/>
        <w:numPr>
          <w:ilvl w:val="0"/>
          <w:numId w:val="10"/>
        </w:numPr>
      </w:pPr>
      <w:r>
        <w:t>Subscribe only to checkout.session.completed and checkout.session.async_payment_succeeded.</w:t>
      </w:r>
    </w:p>
    <w:p>
      <w:pPr>
        <w:keepLines/>
        <w:numPr>
          <w:ilvl w:val="0"/>
          <w:numId w:val="10"/>
        </w:numPr>
      </w:pPr>
      <w:r>
        <w:t>Copy the webhook signing secret directly into STRIPE_WEBHOOK_SECRET in Vercel Preview. Repeat with the live endpoint and Production secret after the custom domain is final.</w:t>
      </w:r>
    </w:p>
    <w:p>
      <w:pPr>
        <w:keepLines/>
        <w:numPr>
          <w:ilvl w:val="0"/>
          <w:numId w:val="10"/>
        </w:numPr>
      </w:pPr>
      <w:r>
        <w:t>Set STRIPE_SECRET_KEY and all matching Price variables in the same Vercel environment. Redeploy after changes.</w:t>
      </w:r>
    </w:p>
    <w:p>
      <w:pPr>
        <w:keepLines/>
        <w:numPr>
          <w:ilvl w:val="0"/>
          <w:numId w:val="10"/>
        </w:numPr>
      </w:pPr>
      <w:r>
        <w:t>Use Stripe CLI or Dashboard replay to send the same paid event twice. Verify one purchase, one license, one credit grant if applicable, and one license email.</w:t>
      </w:r>
    </w:p>
    <w:p>
      <w:r>
        <w:br w:type="page"/>
      </w:r>
    </w:p>
    <w:p>
      <w:pPr>
        <w:pStyle w:val="Heading2"/>
      </w:pPr>
      <w:r>
        <w:t>2.4 Payment acceptance evidence</w:t>
      </w:r>
    </w:p>
    <w:p>
      <w:pPr>
        <w:keepLines/>
        <w:numPr>
          <w:ilvl w:val="0"/>
          <w:numId w:val="12"/>
        </w:numPr>
      </w:pPr>
      <w:r>
        <w:t>Unauthenticated checkout returns a sign-in requirement.</w:t>
      </w:r>
    </w:p>
    <w:p>
      <w:pPr>
        <w:keepLines/>
        <w:numPr>
          <w:ilvl w:val="0"/>
          <w:numId w:val="12"/>
        </w:numPr>
      </w:pPr>
      <w:r>
        <w:t>Successful Pro and Max test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or unpaid sessions create nothing.</w:t>
      </w:r>
    </w:p>
    <w:p>
      <w:pPr>
        <w:keepLines/>
        <w:numPr>
          <w:ilvl w:val="0"/>
          <w:numId w:val="12"/>
        </w:numPr>
      </w:pPr>
      <w:r>
        <w:t>Async payment success provisions exactly once.</w:t>
      </w:r>
    </w:p>
    <w:p>
      <w:pPr>
        <w:keepLines/>
        <w:numPr>
          <w:ilvl w:val="0"/>
          <w:numId w:val="12"/>
        </w:numPr>
      </w:pPr>
      <w:r>
        <w:t>Credit-pack replay does not duplicate the balance.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3">
        <w:r>
          <w:rPr>
            <w:color w:val="2E74B5"/>
            <w:u w:val="single"/>
          </w:rPr>
          <w:t>Stripe India documentation</w:t>
        </w:r>
      </w:hyperlink>
    </w:p>
    <w:p>
      <w:pPr>
        <w:pStyle w:val="RunbookCaption"/>
      </w:pPr>
      <w:r>
        <w:t xml:space="preserve">Official reference: </w:t>
      </w:r>
      <w:hyperlink r:id="rId14">
        <w:r>
          <w:rPr>
            <w:color w:val="2E74B5"/>
            <w:u w:val="single"/>
          </w:rPr>
          <w:t>Stripe webhook signatures</w:t>
        </w:r>
      </w:hyperlink>
    </w:p>
    <w:p>
      <w:pPr>
        <w:spacing w:after="80"/>
      </w:pPr>
      <w:r>
        <w:rPr>
          <w:b/>
        </w:rPr>
        <w:t xml:space="preserve">Stripe account ID: </w:t>
      </w:r>
      <w:r>
        <w:t>__________________________________________________________________________</w:t>
      </w:r>
    </w:p>
    <w:p>
      <w:pPr>
        <w:spacing w:after="80"/>
      </w:pPr>
      <w:r>
        <w:rPr>
          <w:b/>
        </w:rPr>
        <w:t xml:space="preserve">Test webhook endpoint ID: </w:t>
      </w:r>
      <w:r>
        <w:t>__________________________________________________________________________</w:t>
      </w:r>
    </w:p>
    <w:p>
      <w:pPr>
        <w:spacing w:after="80"/>
      </w:pPr>
      <w:r>
        <w:rPr>
          <w:b/>
        </w:rPr>
        <w:t xml:space="preserve">Live webhook endpoint ID: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monitored addresses or aliases: licenses@godfin.dev, support@godfin.dev, privacy@godfin.dev, legal@godfin.dev, and security@godfin.dev.</w:t>
      </w:r>
    </w:p>
    <w:p>
      <w:pPr>
        <w:keepLines/>
        <w:numPr>
          <w:ilvl w:val="0"/>
          <w:numId w:val="10"/>
        </w:numPr>
      </w:pPr>
      <w:r>
        <w:t>Create a least-privilege production Resend API key. Store it directly as RESEND_API_KEY in Vercel Production and Preview; set RESEND_FROM_EMAIL to GODFIN &lt;licenses@godfin.dev&gt;.</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Support, privacy, legal, licenses, and security mailboxes are monitored.</w:t>
      </w:r>
    </w:p>
    <w:p>
      <w:pPr>
        <w:pStyle w:val="RunbookCaption"/>
      </w:pPr>
      <w:r>
        <w:t xml:space="preserve">Official reference: </w:t>
      </w:r>
      <w:hyperlink r:id="rId15">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Set NEXT_PUBLIC_SITE_URL=https://godfin.dev for Production after DNS and HTTPS are ready. Update Google/Supabase redirect allow-lists and Stripe webhook/success/cancel URLs before switching traffic.</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Stripe,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For the first 5% update cohort, the promote-updates workflow requires PUBLISH_STAGED_RELEASE. Advancing to 25%, 50%, or 100% requires ADVANCE_AFTER_HEALTH_REVIEW. Both use the protected release-production environment and must not run before explicit public-launch authorization.</w:t>
      </w:r>
    </w:p>
    <w:p>
      <w:pPr>
        <w:keepLines/>
        <w:numPr>
          <w:ilvl w:val="0"/>
          <w:numId w:val="10"/>
        </w:numPr>
      </w:pPr>
      <w:r>
        <w:t>Test rollback with a previously reviewed signed release using the separate rollback workflow and the exact confirmation ROLLBACK_SIGNED_RELEASE.</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6">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859 tests pass under clean Python 3.12, including auth/PIN, encryption, migrations, backups, merchant upsert, licenses, goal ledgers and FD/RD suggestions, simulation reference vectors, recurring detection, atomic accounts, package privacy, CA tax pack, classification memory, performance, net worth, behavior insights, reward-pilot redaction, and UTC finance-fetch regressions.</w:t>
      </w:r>
    </w:p>
    <w:p>
      <w:pPr>
        <w:keepLines/>
        <w:numPr>
          <w:ilvl w:val="0"/>
          <w:numId w:val="12"/>
        </w:numPr>
      </w:pPr>
      <w:r>
        <w:t>Frontend: lint, accessibility checks, authentication checks, and production build pass. Focused Playwright covers PIN entry, portal calculation help, goals, recurring re-detection, external pricing, settings disclosure, and CA tax-pack controls.</w:t>
      </w:r>
    </w:p>
    <w:p>
      <w:pPr>
        <w:keepLines/>
        <w:numPr>
          <w:ilvl w:val="0"/>
          <w:numId w:val="12"/>
        </w:numPr>
      </w:pPr>
      <w:r>
        <w:t>Website: entitlement/payment contract verification, production build, real-app product chapters, reduced-motion fallbacks, mobile overflow, lifetime/no-bundled-credit pricing, security headers, checkout safe-disable behavior, and dependency audit pass. The final production URL scores Lighthouse performance 99, accessibility 100, and SEO 100, with LCP 1.73 seconds and CLS 0.</w:t>
      </w:r>
    </w:p>
    <w:p>
      <w:pPr>
        <w:keepLines/>
        <w:numPr>
          <w:ilvl w:val="0"/>
          <w:numId w:val="12"/>
        </w:numPr>
      </w:pPr>
      <w:r>
        <w:t>Dependencies: runtime, test, and build Python locks are separated and hash-locked; frontend, website, desktop, and Playwright workspaces use npm ci. Audits report zero unaccepted known vulnerabilities. The Gmail API client is explicit in runtime requirements.</w:t>
      </w:r>
    </w:p>
    <w:p>
      <w:pPr>
        <w:keepLines/>
        <w:numPr>
          <w:ilvl w:val="0"/>
          <w:numId w:val="12"/>
        </w:numPr>
      </w:pPr>
      <w:r>
        <w:t>Supply chain: deterministic CycloneDX 1.6 SBOM and third-party notices cover 1,008 unique components with zero unresolved license identifiers. Human review of conditional licenses remains a required fail-closed release gate.</w:t>
      </w:r>
    </w:p>
    <w:p>
      <w:pPr>
        <w:keepLines/>
        <w:numPr>
          <w:ilvl w:val="0"/>
          <w:numId w:val="12"/>
        </w:numPr>
      </w:pPr>
      <w:r>
        <w:t>Release engineering: 12/12 desktop update/release workflow tests and 7/7 package privacy checks pass. All GitHub Actions are pinned to verified 40-character commit SHAs, and release provenance binds the exact commit, tag, package version, SBOM, notices, and checksums.</w:t>
      </w:r>
    </w:p>
    <w:p>
      <w:pPr>
        <w:keepLines/>
        <w:numPr>
          <w:ilvl w:val="0"/>
          <w:numId w:val="12"/>
        </w:numPr>
      </w:pPr>
      <w:r>
        <w:t>Local packaging: a fresh macOS arm64 candidate passed strict codesign verification, first start 2.916 seconds, restart 0.926 seconds, idle memory 605.6 MB, database preservation, local trust boundary, and maintenance-boundary checks. Gatekeeper correctly rejects it because it is not yet Apple-notarized.</w:t>
      </w:r>
    </w:p>
    <w:p>
      <w:pPr>
        <w:keepLines/>
        <w:numPr>
          <w:ilvl w:val="0"/>
          <w:numId w:val="12"/>
        </w:numPr>
      </w:pPr>
      <w:r>
        <w:t>Secrets: gitleaks scans the complete cleaned history;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spacing w:before="100" w:after="160" w:line="288" w:lineRule="auto"/>
        <w:ind w:left="115" w:right="115"/>
        <w:shd w:fill="FFF4D8"/>
        <w:pBdr>
          <w:left w:val="single" w:sz="18" w:space="8" w:color="7A5A00"/>
        </w:pBdr>
      </w:pPr>
      <w:r>
        <w:rPr>
          <w:rFonts w:ascii="Calibri" w:hAnsi="Calibri"/>
          <w:b/>
          <w:color w:val="7A5A00"/>
          <w:sz w:val="21"/>
        </w:rPr>
        <w:t xml:space="preserve">CI RELEASE GATE  </w:t>
      </w:r>
      <w:r>
        <w:rPr>
          <w:rFonts w:ascii="Calibri" w:hAnsi="Calibri"/>
          <w:color w:val="172033"/>
          <w:sz w:val="21"/>
        </w:rPr>
        <w:t>Do not tag a candidate until the CI run for the exact commit is green. A local pass is necessary but not sufficient.</w:t>
      </w:r>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immutable semantic candidate tag that matches the desktop package version exactly, such as v0.1.0. The release workflow intentionally accepts only vX.Y.Z tags; do not use an -rc suffix unless the validated workflow contract is deliberately changed first.</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verifies exact tag/commit/version agreement, refuses an existing release for that tag, builds native macOS arm64/x64, Windows x64, and Linux x64 artifacts, verifies packages, generates SHA-256 checksums, SBOM, notices, and provenance, and creates a private draft GitHub Release.</w:t>
      </w:r>
    </w:p>
    <w:p>
      <w:pPr>
        <w:keepLines/>
        <w:numPr>
          <w:ilvl w:val="0"/>
          <w:numId w:val="10"/>
        </w:numPr>
      </w:pPr>
      <w:r>
        <w:t>Confirm supply-chain/legal-clearance.json is approved. The workflow must remain fail-closed while legal status is pending or the recorded evidence hashes do not match.</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15. Final website and support acceptance</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hosted packs are separate one-time purchases.</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500"/>
        <w:gridCol w:w="1450"/>
        <w:gridCol w:w="900"/>
        <w:gridCol w:w="3510"/>
      </w:tblGrid>
      <w:tr>
        <w:trPr>
          <w:tblHeader w:val="true"/>
        </w:trPr>
        <w:tc>
          <w:tcPr>
            <w:tcW w:type="dxa" w:w="35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45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9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51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450"/>
            <w:tcMar>
              <w:top w:w="80" w:type="dxa"/>
              <w:start w:w="120" w:type="dxa"/>
              <w:bottom w:w="80" w:type="dxa"/>
              <w:end w:w="120" w:type="dxa"/>
            </w:tcMar>
            <w:vAlign w:val="center"/>
          </w:tcPr>
          <w:p>
            <w:pPr>
              <w:spacing w:after="0"/>
            </w:pPr>
            <w:r>
              <w:rPr>
                <w:rFonts w:ascii="Calibri" w:hAnsi="Calibri"/>
                <w:color w:val="172033"/>
                <w:sz w:val="18"/>
              </w:rPr>
              <w:t>Codex</w:t>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Desktop Gmail OAuth + sync</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t>Separate Desktop client; read-only consent; connect/sync/disconnect/reconnect evidence.</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Dependency license clearance</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t>Human approval of conditional licenses with unchanged SBOM/notices hashes.</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Stripe + webhook + refund/tax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Custom domain + security headers</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Local macOS arm64 package proof</w:t>
            </w:r>
          </w:p>
        </w:tc>
        <w:tc>
          <w:tcPr>
            <w:tcW w:type="dxa" w:w="1450"/>
            <w:tcMar>
              <w:top w:w="80" w:type="dxa"/>
              <w:start w:w="120" w:type="dxa"/>
              <w:bottom w:w="80" w:type="dxa"/>
              <w:end w:w="120" w:type="dxa"/>
            </w:tcMar>
            <w:vAlign w:val="center"/>
          </w:tcPr>
          <w:p>
            <w:pPr>
              <w:spacing w:after="0"/>
            </w:pPr>
            <w:r>
              <w:rPr>
                <w:rFonts w:ascii="Calibri" w:hAnsi="Calibri"/>
                <w:color w:val="172033"/>
                <w:sz w:val="18"/>
              </w:rPr>
              <w:t>Codex</w:t>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t>Locked local candidate meets startup, memory, privacy, persistence, and trust-boundary budgets; not notarized.</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Cross-platform clean-system matrix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t>macOS x64, Windows 10/11 x64, and Ubuntu 22.04 x64 remain external gates.</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Browser-family matrix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t>Chrome, Safari, Firefox, and Edge acceptance evidence remains deferred.</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evelopers.google.com/workspace/gmail/api/quickstart/python" TargetMode="External"/><Relationship Id="rId13" Type="http://schemas.openxmlformats.org/officeDocument/2006/relationships/hyperlink" Target="https://docs.stripe.com/india" TargetMode="External"/><Relationship Id="rId14" Type="http://schemas.openxmlformats.org/officeDocument/2006/relationships/hyperlink" Target="https://docs.stripe.com/webhooks/signature" TargetMode="External"/><Relationship Id="rId15" Type="http://schemas.openxmlformats.org/officeDocument/2006/relationships/hyperlink" Target="https://resend.com/docs/dashboard/domains/introduction" TargetMode="External"/><Relationship Id="rId16" Type="http://schemas.openxmlformats.org/officeDocument/2006/relationships/hyperlink" Target="https://twelvedata.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payments, privacy</cp:keywords>
  <dc:description>generated by python-docx</dc:description>
  <cp:lastModifiedBy/>
  <cp:revision>1</cp:revision>
  <dcterms:created xsi:type="dcterms:W3CDTF">2013-12-23T23:15:00Z</dcterms:created>
  <dcterms:modified xsi:type="dcterms:W3CDTF">2013-12-23T23:15:00Z</dcterms:modified>
  <cp:category/>
</cp:coreProperties>
</file>