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40"/>
      </w:pPr>
    </w:p>
    <w:p>
      <w:pPr>
        <w:spacing w:after="280"/>
        <w:jc w:val="center"/>
      </w:pPr>
      <w:r>
        <w:rPr>
          <w:rFonts w:ascii="Calibri" w:hAnsi="Calibri"/>
          <w:b/>
          <w:color w:val="2E74B5"/>
          <w:sz w:val="20"/>
        </w:rPr>
        <w:t>PRIVATE LAUNCH OPERATIONS</w:t>
      </w:r>
    </w:p>
    <w:p>
      <w:pPr>
        <w:spacing w:after="200"/>
        <w:jc w:val="center"/>
      </w:pPr>
      <w:r>
        <w:rPr>
          <w:rFonts w:ascii="Calibri" w:hAnsi="Calibri"/>
          <w:b/>
          <w:color w:val="163A5F"/>
          <w:sz w:val="56"/>
        </w:rPr>
        <w:t>GODFIN Owner</w:t>
        <w:br/>
        <w:t>Completion Runbook</w:t>
      </w:r>
    </w:p>
    <w:p>
      <w:pPr>
        <w:spacing w:after="480"/>
        <w:jc w:val="center"/>
      </w:pPr>
      <w:r>
        <w:rPr>
          <w:rFonts w:ascii="Calibri" w:hAnsi="Calibri"/>
          <w:color w:val="1F4D78"/>
          <w:sz w:val="26"/>
        </w:rPr>
        <w:t>Owner-controlled credentials, signing, compliance, validation, and launch gates</w:t>
      </w:r>
    </w:p>
    <w:p>
      <w:pPr>
        <w:spacing w:after="840"/>
        <w:jc w:val="center"/>
      </w:pPr>
      <w:r>
        <w:rPr>
          <w:rFonts w:ascii="Calibri" w:hAnsi="Calibri"/>
          <w:color w:val="667085"/>
          <w:sz w:val="20"/>
        </w:rPr>
        <w:t>Version 2.2  •  30 July 2026  •  oculusrex14/GODFIN (private)</w:t>
        <w:br/>
        <w:t>Production branch: codex/godfin-production-v4</w:t>
      </w:r>
    </w:p>
    <w:p>
      <w:pPr>
        <w:spacing w:before="100" w:after="160" w:line="288" w:lineRule="auto"/>
        <w:ind w:left="115" w:right="115"/>
        <w:shd w:fill="FDECEC"/>
        <w:pBdr>
          <w:left w:val="single" w:sz="18" w:space="8" w:color="9B1C1C"/>
        </w:pBdr>
      </w:pPr>
      <w:r>
        <w:rPr>
          <w:rFonts w:ascii="Calibri" w:hAnsi="Calibri"/>
          <w:b/>
          <w:color w:val="9B1C1C"/>
          <w:sz w:val="21"/>
        </w:rPr>
        <w:t xml:space="preserve">NON-NEGOTIABLE  </w:t>
      </w:r>
      <w:r>
        <w:rPr>
          <w:rFonts w:ascii="Calibri" w:hAnsi="Calibri"/>
          <w:color w:val="172033"/>
          <w:sz w:val="21"/>
        </w:rPr>
        <w:t>Never paste secrets, OAuth credentials, signing certificates, real statements, local databases, PINs, license keys, payout identities, or customer financial data into this document, source control, chat, tickets, or email.</w:t>
      </w:r>
    </w:p>
    <w:p>
      <w:pPr>
        <w:spacing w:before="400"/>
        <w:jc w:val="center"/>
      </w:pPr>
      <w:r>
        <w:rPr>
          <w:rFonts w:ascii="Calibri" w:hAnsi="Calibri"/>
          <w:color w:val="172033"/>
          <w:sz w:val="21"/>
        </w:rPr>
        <w:t>Owner: ______________________________    Target date: __________________</w:t>
      </w:r>
    </w:p>
    <w:p>
      <w:r>
        <w:br w:type="page"/>
      </w:r>
    </w:p>
    <w:p>
      <w:pPr>
        <w:pStyle w:val="Heading1"/>
      </w:pPr>
      <w:r>
        <w:t>How to use this runbook</w:t>
      </w:r>
    </w:p>
    <w:p>
      <w:pPr>
        <w:keepLines/>
        <w:numPr>
          <w:ilvl w:val="0"/>
          <w:numId w:val="10"/>
        </w:numPr>
      </w:pPr>
      <w:r>
        <w:t>Complete sections in order. Each section ends with evidence that can be checked without revealing a secret.</w:t>
      </w:r>
    </w:p>
    <w:p>
      <w:pPr>
        <w:keepLines/>
        <w:numPr>
          <w:ilvl w:val="0"/>
          <w:numId w:val="10"/>
        </w:numPr>
      </w:pPr>
      <w:r>
        <w:t>Use provider dashboards in your own browser. Store every secret only in the provider’s encrypted environment, GitHub Actions secret store, and your business password vault.</w:t>
      </w:r>
    </w:p>
    <w:p>
      <w:pPr>
        <w:keepLines/>
        <w:numPr>
          <w:ilvl w:val="0"/>
          <w:numId w:val="10"/>
        </w:numPr>
      </w:pPr>
      <w:r>
        <w:t>Keep the desktop backend local. Supabase, Vercel, Stripe, Resend, and R2 are website, licensing, email, and distribution services only; they must never become the application database.</w:t>
      </w:r>
    </w:p>
    <w:p>
      <w:pPr>
        <w:keepLines/>
        <w:numPr>
          <w:ilvl w:val="0"/>
          <w:numId w:val="10"/>
        </w:numPr>
      </w:pPr>
      <w:r>
        <w:t>Do not enable checkout, the reward pilot, update-feed promotion, or public launch content until the matching sign-off gate is complete.</w:t>
      </w:r>
    </w:p>
    <w:p>
      <w:pPr>
        <w:keepLines/>
        <w:numPr>
          <w:ilvl w:val="0"/>
          <w:numId w:val="10"/>
        </w:numPr>
      </w:pPr>
      <w:r>
        <w:t>When a step says “ask Codex to verify,” provide only the non-secret project name, public URL, or workflow run URL—not the credential value.</w:t>
      </w:r>
    </w:p>
    <w:p>
      <w:r>
        <w:br w:type="page"/>
      </w:r>
    </w:p>
    <w:p>
      <w:pPr>
        <w:pStyle w:val="Heading1"/>
      </w:pPr>
      <w:r>
        <w:t>Current verified state</w:t>
      </w:r>
    </w:p>
    <w:p>
      <w:pPr>
        <w:spacing w:before="100" w:after="160" w:line="288" w:lineRule="auto"/>
        <w:ind w:left="115" w:right="115"/>
        <w:shd w:fill="EAF7EF"/>
        <w:pBdr>
          <w:left w:val="single" w:sz="18" w:space="8" w:color="17663A"/>
        </w:pBdr>
      </w:pPr>
      <w:r>
        <w:rPr>
          <w:rFonts w:ascii="Calibri" w:hAnsi="Calibri"/>
          <w:b/>
          <w:color w:val="17663A"/>
          <w:sz w:val="21"/>
        </w:rPr>
        <w:t xml:space="preserve">ENGINEERING BASELINE  </w:t>
      </w:r>
      <w:r>
        <w:rPr>
          <w:rFonts w:ascii="Calibri" w:hAnsi="Calibri"/>
          <w:color w:val="172033"/>
          <w:sz w:val="21"/>
        </w:rPr>
        <w:t>Production remediation through accounts, reporting, and the website product tour is implemented on the private v4 branch. The local baseline is 324 passing backend tests; frontend and website production builds pass; focused desktop and website Playwright checks pass; package privacy inspection finds no local database, statement, Gmail credential, backup, or personal account artifact.</w:t>
      </w:r>
    </w:p>
    <w:p>
      <w:pPr>
        <w:keepLines/>
        <w:numPr>
          <w:ilvl w:val="0"/>
          <w:numId w:val="11"/>
        </w:numPr>
      </w:pPr>
      <w:r>
        <w:t>Private repository: https://github.com/oculusrex14/GODFIN</w:t>
      </w:r>
    </w:p>
    <w:p>
      <w:pPr>
        <w:keepLines/>
        <w:numPr>
          <w:ilvl w:val="0"/>
          <w:numId w:val="11"/>
        </w:numPr>
      </w:pPr>
      <w:r>
        <w:t>Production website: https://godfin.vercel.app</w:t>
      </w:r>
    </w:p>
    <w:p>
      <w:pPr>
        <w:keepLines/>
        <w:numPr>
          <w:ilvl w:val="0"/>
          <w:numId w:val="11"/>
        </w:numPr>
      </w:pPr>
      <w:r>
        <w:t>Supabase project: GODFIN (ap-south-1); migrations 0001–0003 match local history. Migration 0003 adds the non-revenue owner_test license kind without weakening normal three-device enforcement.</w:t>
      </w:r>
    </w:p>
    <w:p>
      <w:pPr>
        <w:keepLines/>
        <w:numPr>
          <w:ilvl w:val="0"/>
          <w:numId w:val="11"/>
        </w:numPr>
      </w:pPr>
      <w:r>
        <w:t>Deprecated source is preserved only in private, read-only repository oculusrex14/GODFIN-OPUS46-ARCHIVE. Its 35-commit rewritten history and archival tag pass secret scanning; the obsolete local source/build workspace was moved to Trash while active Application Support data was preserved.</w:t>
      </w:r>
    </w:p>
    <w:p>
      <w:pPr>
        <w:keepLines/>
        <w:numPr>
          <w:ilvl w:val="0"/>
          <w:numId w:val="11"/>
        </w:numPr>
      </w:pPr>
      <w:r>
        <w:t>PIN access recovery, portal-positioned calculation help, collapsible App Settings, external pricing navigation, auditable goal contributions, corrected goal simulation, recurring re-detection, atomic account routing, package privacy assertions, and the AY 2026–27 CA tax pack are implemented and tested.</w:t>
      </w:r>
    </w:p>
    <w:p>
      <w:pPr>
        <w:keepLines/>
        <w:numPr>
          <w:ilvl w:val="0"/>
          <w:numId w:val="11"/>
        </w:numPr>
      </w:pPr>
      <w:r>
        <w:t>The website product tour uses real React application captures generated only from synthetic data, muted WebM/MP4 media with reduced-motion fallbacks, and build-time checks that prevent unreleased features from being advertised. Production deployment dpl_2dUiNiw38R9pqfsymPx7NWhpw7Ej is READY at godfin.vercel.app.</w:t>
      </w:r>
    </w:p>
    <w:p>
      <w:pPr>
        <w:keepLines/>
        <w:numPr>
          <w:ilvl w:val="0"/>
          <w:numId w:val="11"/>
        </w:numPr>
      </w:pPr>
      <w:r>
        <w:t>Production acceptance on 30 July 2026: website Playwright 4/4; Lighthouse performance 99, accessibility 100, SEO 100, LCP 1.73 seconds, CLS 0; required CSP, HSTS, frame, MIME, referrer, and permissions headers are present.</w:t>
      </w:r>
    </w:p>
    <w:p>
      <w:pPr>
        <w:keepLines/>
        <w:numPr>
          <w:ilvl w:val="0"/>
          <w:numId w:val="11"/>
        </w:numPr>
      </w:pPr>
      <w:r>
        <w:t>Vercel already contains the Supabase public/server variables and LICENSE_SIGNING_SECRET. Values are encrypted and are intentionally not reproduced here.</w:t>
      </w:r>
    </w:p>
    <w:p>
      <w:pPr>
        <w:keepLines/>
        <w:numPr>
          <w:ilvl w:val="0"/>
          <w:numId w:val="11"/>
        </w:numPr>
      </w:pPr>
      <w:r>
        <w:t>Google OAuth is active. The owner-controlled GODFIN Website project uses the rotated web client named GODFIN Website Rotated; the provider requests only openid/email/profile, the original client is revoked, and production sign-in returned successfully to /account twice on 30 July 2026.</w:t>
      </w:r>
    </w:p>
    <w:p>
      <w:pPr>
        <w:keepLines/>
        <w:numPr>
          <w:ilvl w:val="0"/>
          <w:numId w:val="11"/>
        </w:numPr>
      </w:pPr>
      <w:r>
        <w:t>A non-revenue Max owner_test license is active for the owner account. The server stores only its hash, purchase history remains empty, and one macOS arm64 installation is verified through the normal three-device flow. The full key is retained only in macOS Keychain and encrypted local app storage.</w:t>
      </w:r>
    </w:p>
    <w:p>
      <w:pPr>
        <w:keepLines/>
        <w:numPr>
          <w:ilvl w:val="0"/>
          <w:numId w:val="11"/>
        </w:numPr>
      </w:pPr>
      <w:r>
        <w:t>Stripe KYC/prices, Resend/DNS, custom domain, Apple/Windows certificates, R2, clean-VM evidence, and public-launch authorization are not yet complete.</w:t>
      </w:r>
    </w:p>
    <w:p>
      <w:pPr>
        <w:keepLines/>
        <w:numPr>
          <w:ilvl w:val="0"/>
          <w:numId w:val="11"/>
        </w:numPr>
      </w:pPr>
      <w:r>
        <w:t>Reward pilot, sponsor card, PPP checkout, and OpenDataLoader shipping remain safely feature-gated where applicable.</w:t>
      </w:r>
    </w:p>
    <w:p>
      <w:pPr>
        <w:keepLines/>
        <w:numPr>
          <w:ilvl w:val="0"/>
          <w:numId w:val="11"/>
        </w:numPr>
      </w:pPr>
      <w:r>
        <w:t>Nothing in this document authorizes a public release. Phase 6 starts only after explicit written public-launch authorization.</w:t>
      </w:r>
    </w:p>
    <w:p>
      <w:r>
        <w:br w:type="page"/>
      </w:r>
    </w:p>
    <w:p>
      <w:pPr>
        <w:pStyle w:val="Heading1"/>
      </w:pPr>
      <w:r>
        <w:t>Critical path and blockers</w:t>
      </w:r>
    </w:p>
    <w:tbl>
      <w:tblPr>
        <w:tblStyle w:val="TableGrid"/>
        <w:tblW w:type="dxa" w:w="9360"/>
        <w:tblLayout w:type="fixed"/>
        <w:tblLook w:firstColumn="1" w:firstRow="1" w:lastColumn="0" w:lastRow="0" w:noHBand="0" w:noVBand="1" w:val="04A0"/>
        <w:tblInd w:w="120" w:type="dxa"/>
      </w:tblPr>
      <w:tblGrid>
        <w:gridCol w:w="1500"/>
        <w:gridCol w:w="2100"/>
        <w:gridCol w:w="3000"/>
        <w:gridCol w:w="2760"/>
      </w:tblGrid>
      <w:tr>
        <w:trPr>
          <w:tblHeader w:val="true"/>
        </w:trPr>
        <w:tc>
          <w:tcPr>
            <w:tcW w:type="dxa" w:w="1500"/>
            <w:shd w:fill="E8EEF5"/>
            <w:tcMar>
              <w:top w:w="80" w:type="dxa"/>
              <w:start w:w="120" w:type="dxa"/>
              <w:bottom w:w="80" w:type="dxa"/>
              <w:end w:w="120" w:type="dxa"/>
            </w:tcMar>
            <w:vAlign w:val="center"/>
          </w:tcPr>
          <w:p>
            <w:pPr>
              <w:spacing w:after="0"/>
            </w:pPr>
            <w:r>
              <w:rPr>
                <w:rFonts w:ascii="Calibri" w:hAnsi="Calibri"/>
                <w:b/>
                <w:color w:val="163A5F"/>
                <w:sz w:val="19"/>
              </w:rPr>
              <w:t>Blocker</w:t>
            </w:r>
          </w:p>
        </w:tc>
        <w:tc>
          <w:tcPr>
            <w:tcW w:type="dxa" w:w="2100"/>
            <w:shd w:fill="E8EEF5"/>
            <w:tcMar>
              <w:top w:w="80" w:type="dxa"/>
              <w:start w:w="120" w:type="dxa"/>
              <w:bottom w:w="80" w:type="dxa"/>
              <w:end w:w="120" w:type="dxa"/>
            </w:tcMar>
            <w:vAlign w:val="center"/>
          </w:tcPr>
          <w:p>
            <w:pPr>
              <w:spacing w:after="0"/>
            </w:pPr>
            <w:r>
              <w:rPr>
                <w:rFonts w:ascii="Calibri" w:hAnsi="Calibri"/>
                <w:b/>
                <w:color w:val="163A5F"/>
                <w:sz w:val="19"/>
              </w:rPr>
              <w:t>Why blocked</w:t>
            </w:r>
          </w:p>
        </w:tc>
        <w:tc>
          <w:tcPr>
            <w:tcW w:type="dxa" w:w="3000"/>
            <w:shd w:fill="E8EEF5"/>
            <w:tcMar>
              <w:top w:w="80" w:type="dxa"/>
              <w:start w:w="120" w:type="dxa"/>
              <w:bottom w:w="80" w:type="dxa"/>
              <w:end w:w="120" w:type="dxa"/>
            </w:tcMar>
            <w:vAlign w:val="center"/>
          </w:tcPr>
          <w:p>
            <w:pPr>
              <w:spacing w:after="0"/>
            </w:pPr>
            <w:r>
              <w:rPr>
                <w:rFonts w:ascii="Calibri" w:hAnsi="Calibri"/>
                <w:b/>
                <w:color w:val="163A5F"/>
                <w:sz w:val="19"/>
              </w:rPr>
              <w:t>Your intervention</w:t>
            </w:r>
          </w:p>
        </w:tc>
        <w:tc>
          <w:tcPr>
            <w:tcW w:type="dxa" w:w="2760"/>
            <w:shd w:fill="E8EEF5"/>
            <w:tcMar>
              <w:top w:w="80" w:type="dxa"/>
              <w:start w:w="120" w:type="dxa"/>
              <w:bottom w:w="80" w:type="dxa"/>
              <w:end w:w="120" w:type="dxa"/>
            </w:tcMar>
            <w:vAlign w:val="center"/>
          </w:tcPr>
          <w:p>
            <w:pPr>
              <w:spacing w:after="0"/>
            </w:pPr>
            <w:r>
              <w:rPr>
                <w:rFonts w:ascii="Calibri" w:hAnsi="Calibri"/>
                <w:b/>
                <w:color w:val="163A5F"/>
                <w:sz w:val="19"/>
              </w:rPr>
              <w:t>Completion evidence</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Stripe India</w:t>
            </w:r>
          </w:p>
        </w:tc>
        <w:tc>
          <w:tcPr>
            <w:tcW w:type="dxa" w:w="2100"/>
            <w:tcMar>
              <w:top w:w="80" w:type="dxa"/>
              <w:start w:w="120" w:type="dxa"/>
              <w:bottom w:w="80" w:type="dxa"/>
              <w:end w:w="120" w:type="dxa"/>
            </w:tcMar>
            <w:vAlign w:val="center"/>
          </w:tcPr>
          <w:p>
            <w:pPr>
              <w:spacing w:after="0"/>
            </w:pPr>
            <w:r>
              <w:rPr>
                <w:rFonts w:ascii="Calibri" w:hAnsi="Calibri"/>
                <w:color w:val="172033"/>
                <w:sz w:val="18"/>
              </w:rPr>
              <w:t>Keys, one-time Price IDs, and webhook are absent.</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KYC; create test/live products and webhook.</w:t>
            </w:r>
          </w:p>
        </w:tc>
        <w:tc>
          <w:tcPr>
            <w:tcW w:type="dxa" w:w="2760"/>
            <w:tcMar>
              <w:top w:w="80" w:type="dxa"/>
              <w:start w:w="120" w:type="dxa"/>
              <w:bottom w:w="80" w:type="dxa"/>
              <w:end w:w="120" w:type="dxa"/>
            </w:tcMar>
            <w:vAlign w:val="center"/>
          </w:tcPr>
          <w:p>
            <w:pPr>
              <w:spacing w:after="0"/>
            </w:pPr>
            <w:r>
              <w:rPr>
                <w:rFonts w:ascii="Calibri" w:hAnsi="Calibri"/>
                <w:color w:val="172033"/>
                <w:sz w:val="18"/>
              </w:rPr>
              <w:t>Replay-safe purchase provisions once.</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Resend + DNS</w:t>
            </w:r>
          </w:p>
        </w:tc>
        <w:tc>
          <w:tcPr>
            <w:tcW w:type="dxa" w:w="2100"/>
            <w:tcMar>
              <w:top w:w="80" w:type="dxa"/>
              <w:start w:w="120" w:type="dxa"/>
              <w:bottom w:w="80" w:type="dxa"/>
              <w:end w:w="120" w:type="dxa"/>
            </w:tcMar>
            <w:vAlign w:val="center"/>
          </w:tcPr>
          <w:p>
            <w:pPr>
              <w:spacing w:after="0"/>
            </w:pPr>
            <w:r>
              <w:rPr>
                <w:rFonts w:ascii="Calibri" w:hAnsi="Calibri"/>
                <w:color w:val="172033"/>
                <w:sz w:val="18"/>
              </w:rPr>
              <w:t>No sending key/domain verification.</w:t>
            </w:r>
          </w:p>
        </w:tc>
        <w:tc>
          <w:tcPr>
            <w:tcW w:type="dxa" w:w="3000"/>
            <w:tcMar>
              <w:top w:w="80" w:type="dxa"/>
              <w:start w:w="120" w:type="dxa"/>
              <w:bottom w:w="80" w:type="dxa"/>
              <w:end w:w="120" w:type="dxa"/>
            </w:tcMar>
            <w:vAlign w:val="center"/>
          </w:tcPr>
          <w:p>
            <w:pPr>
              <w:spacing w:after="0"/>
            </w:pPr>
            <w:r>
              <w:rPr>
                <w:rFonts w:ascii="Calibri" w:hAnsi="Calibri"/>
                <w:color w:val="172033"/>
                <w:sz w:val="18"/>
              </w:rPr>
              <w:t>Verify godfin.dev and add the production key.</w:t>
            </w:r>
          </w:p>
        </w:tc>
        <w:tc>
          <w:tcPr>
            <w:tcW w:type="dxa" w:w="2760"/>
            <w:tcMar>
              <w:top w:w="80" w:type="dxa"/>
              <w:start w:w="120" w:type="dxa"/>
              <w:bottom w:w="80" w:type="dxa"/>
              <w:end w:w="120" w:type="dxa"/>
            </w:tcMar>
            <w:vAlign w:val="center"/>
          </w:tcPr>
          <w:p>
            <w:pPr>
              <w:spacing w:after="0"/>
            </w:pPr>
            <w:r>
              <w:rPr>
                <w:rFonts w:ascii="Calibri" w:hAnsi="Calibri"/>
                <w:color w:val="172033"/>
                <w:sz w:val="18"/>
              </w:rPr>
              <w:t>SPF, DKIM, DMARC and two inbox tests pass.</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Custom domain</w:t>
            </w:r>
          </w:p>
        </w:tc>
        <w:tc>
          <w:tcPr>
            <w:tcW w:type="dxa" w:w="2100"/>
            <w:tcMar>
              <w:top w:w="80" w:type="dxa"/>
              <w:start w:w="120" w:type="dxa"/>
              <w:bottom w:w="80" w:type="dxa"/>
              <w:end w:w="120" w:type="dxa"/>
            </w:tcMar>
            <w:vAlign w:val="center"/>
          </w:tcPr>
          <w:p>
            <w:pPr>
              <w:spacing w:after="0"/>
            </w:pPr>
            <w:r>
              <w:rPr>
                <w:rFonts w:ascii="Calibri" w:hAnsi="Calibri"/>
                <w:color w:val="172033"/>
                <w:sz w:val="18"/>
              </w:rPr>
              <w:t>No Vercel domain is attached.</w:t>
            </w:r>
          </w:p>
        </w:tc>
        <w:tc>
          <w:tcPr>
            <w:tcW w:type="dxa" w:w="3000"/>
            <w:tcMar>
              <w:top w:w="80" w:type="dxa"/>
              <w:start w:w="120" w:type="dxa"/>
              <w:bottom w:w="80" w:type="dxa"/>
              <w:end w:w="120" w:type="dxa"/>
            </w:tcMar>
            <w:vAlign w:val="center"/>
          </w:tcPr>
          <w:p>
            <w:pPr>
              <w:spacing w:after="0"/>
            </w:pPr>
            <w:r>
              <w:rPr>
                <w:rFonts w:ascii="Calibri" w:hAnsi="Calibri"/>
                <w:color w:val="172033"/>
                <w:sz w:val="18"/>
              </w:rPr>
              <w:t>Register/control godfin.dev and connect DNS.</w:t>
            </w:r>
          </w:p>
        </w:tc>
        <w:tc>
          <w:tcPr>
            <w:tcW w:type="dxa" w:w="2760"/>
            <w:tcMar>
              <w:top w:w="80" w:type="dxa"/>
              <w:start w:w="120" w:type="dxa"/>
              <w:bottom w:w="80" w:type="dxa"/>
              <w:end w:w="120" w:type="dxa"/>
            </w:tcMar>
            <w:vAlign w:val="center"/>
          </w:tcPr>
          <w:p>
            <w:pPr>
              <w:spacing w:after="0"/>
            </w:pPr>
            <w:r>
              <w:rPr>
                <w:rFonts w:ascii="Calibri" w:hAnsi="Calibri"/>
                <w:color w:val="172033"/>
                <w:sz w:val="18"/>
              </w:rPr>
              <w:t>HTTPS apex and redirect pass.</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Signing</w:t>
            </w:r>
          </w:p>
        </w:tc>
        <w:tc>
          <w:tcPr>
            <w:tcW w:type="dxa" w:w="2100"/>
            <w:tcMar>
              <w:top w:w="80" w:type="dxa"/>
              <w:start w:w="120" w:type="dxa"/>
              <w:bottom w:w="80" w:type="dxa"/>
              <w:end w:w="120" w:type="dxa"/>
            </w:tcMar>
            <w:vAlign w:val="center"/>
          </w:tcPr>
          <w:p>
            <w:pPr>
              <w:spacing w:after="0"/>
            </w:pPr>
            <w:r>
              <w:rPr>
                <w:rFonts w:ascii="Calibri" w:hAnsi="Calibri"/>
                <w:color w:val="172033"/>
                <w:sz w:val="18"/>
              </w:rPr>
              <w:t>No GitHub signing secrets are configured.</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Apple and Windows signing enrollment.</w:t>
            </w:r>
          </w:p>
        </w:tc>
        <w:tc>
          <w:tcPr>
            <w:tcW w:type="dxa" w:w="2760"/>
            <w:tcMar>
              <w:top w:w="80" w:type="dxa"/>
              <w:start w:w="120" w:type="dxa"/>
              <w:bottom w:w="80" w:type="dxa"/>
              <w:end w:w="120" w:type="dxa"/>
            </w:tcMar>
            <w:vAlign w:val="center"/>
          </w:tcPr>
          <w:p>
            <w:pPr>
              <w:spacing w:after="0"/>
            </w:pPr>
            <w:r>
              <w:rPr>
                <w:rFonts w:ascii="Calibri" w:hAnsi="Calibri"/>
                <w:color w:val="172033"/>
                <w:sz w:val="18"/>
              </w:rPr>
              <w:t>Notarized/signed installers verify.</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R2 updates</w:t>
            </w:r>
          </w:p>
        </w:tc>
        <w:tc>
          <w:tcPr>
            <w:tcW w:type="dxa" w:w="2100"/>
            <w:tcMar>
              <w:top w:w="80" w:type="dxa"/>
              <w:start w:w="120" w:type="dxa"/>
              <w:bottom w:w="80" w:type="dxa"/>
              <w:end w:w="120" w:type="dxa"/>
            </w:tcMar>
            <w:vAlign w:val="center"/>
          </w:tcPr>
          <w:p>
            <w:pPr>
              <w:spacing w:after="0"/>
            </w:pPr>
            <w:r>
              <w:rPr>
                <w:rFonts w:ascii="Calibri" w:hAnsi="Calibri"/>
                <w:color w:val="172033"/>
                <w:sz w:val="18"/>
              </w:rPr>
              <w:t>No release bucket or releases.godfin.dev.</w:t>
            </w:r>
          </w:p>
        </w:tc>
        <w:tc>
          <w:tcPr>
            <w:tcW w:type="dxa" w:w="3000"/>
            <w:tcMar>
              <w:top w:w="80" w:type="dxa"/>
              <w:start w:w="120" w:type="dxa"/>
              <w:bottom w:w="80" w:type="dxa"/>
              <w:end w:w="120" w:type="dxa"/>
            </w:tcMar>
            <w:vAlign w:val="center"/>
          </w:tcPr>
          <w:p>
            <w:pPr>
              <w:spacing w:after="0"/>
            </w:pPr>
            <w:r>
              <w:rPr>
                <w:rFonts w:ascii="Calibri" w:hAnsi="Calibri"/>
                <w:color w:val="172033"/>
                <w:sz w:val="18"/>
              </w:rPr>
              <w:t>Create R2, DNS, and least-privilege secrets.</w:t>
            </w:r>
          </w:p>
        </w:tc>
        <w:tc>
          <w:tcPr>
            <w:tcW w:type="dxa" w:w="2760"/>
            <w:tcMar>
              <w:top w:w="80" w:type="dxa"/>
              <w:start w:w="120" w:type="dxa"/>
              <w:bottom w:w="80" w:type="dxa"/>
              <w:end w:w="120" w:type="dxa"/>
            </w:tcMar>
            <w:vAlign w:val="center"/>
          </w:tcPr>
          <w:p>
            <w:pPr>
              <w:spacing w:after="0"/>
            </w:pPr>
            <w:r>
              <w:rPr>
                <w:rFonts w:ascii="Calibri" w:hAnsi="Calibri"/>
                <w:color w:val="172033"/>
                <w:sz w:val="18"/>
              </w:rPr>
              <w:t>Immutable assets and updater metadata resolve.</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Clean systems</w:t>
            </w:r>
          </w:p>
        </w:tc>
        <w:tc>
          <w:tcPr>
            <w:tcW w:type="dxa" w:w="2100"/>
            <w:tcMar>
              <w:top w:w="80" w:type="dxa"/>
              <w:start w:w="120" w:type="dxa"/>
              <w:bottom w:w="80" w:type="dxa"/>
              <w:end w:w="120" w:type="dxa"/>
            </w:tcMar>
            <w:vAlign w:val="center"/>
          </w:tcPr>
          <w:p>
            <w:pPr>
              <w:spacing w:after="0"/>
            </w:pPr>
            <w:r>
              <w:rPr>
                <w:rFonts w:ascii="Calibri" w:hAnsi="Calibri"/>
                <w:color w:val="172033"/>
                <w:sz w:val="18"/>
              </w:rPr>
              <w:t>Only local macOS packaging is evidenced.</w:t>
            </w:r>
          </w:p>
        </w:tc>
        <w:tc>
          <w:tcPr>
            <w:tcW w:type="dxa" w:w="3000"/>
            <w:tcMar>
              <w:top w:w="80" w:type="dxa"/>
              <w:start w:w="120" w:type="dxa"/>
              <w:bottom w:w="80" w:type="dxa"/>
              <w:end w:w="120" w:type="dxa"/>
            </w:tcMar>
            <w:vAlign w:val="center"/>
          </w:tcPr>
          <w:p>
            <w:pPr>
              <w:spacing w:after="0"/>
            </w:pPr>
            <w:r>
              <w:rPr>
                <w:rFonts w:ascii="Calibri" w:hAnsi="Calibri"/>
                <w:color w:val="172033"/>
                <w:sz w:val="18"/>
              </w:rPr>
              <w:t>Provide clean supported VMs/hardware.</w:t>
            </w:r>
          </w:p>
        </w:tc>
        <w:tc>
          <w:tcPr>
            <w:tcW w:type="dxa" w:w="2760"/>
            <w:tcMar>
              <w:top w:w="80" w:type="dxa"/>
              <w:start w:w="120" w:type="dxa"/>
              <w:bottom w:w="80" w:type="dxa"/>
              <w:end w:w="120" w:type="dxa"/>
            </w:tcMar>
            <w:vAlign w:val="center"/>
          </w:tcPr>
          <w:p>
            <w:pPr>
              <w:spacing w:after="0"/>
            </w:pPr>
            <w:r>
              <w:rPr>
                <w:rFonts w:ascii="Calibri" w:hAnsi="Calibri"/>
                <w:color w:val="172033"/>
                <w:sz w:val="18"/>
              </w:rPr>
              <w:t>Install/upgrade/recovery matrix is signed.</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Public launch</w:t>
            </w:r>
          </w:p>
        </w:tc>
        <w:tc>
          <w:tcPr>
            <w:tcW w:type="dxa" w:w="2100"/>
            <w:tcMar>
              <w:top w:w="80" w:type="dxa"/>
              <w:start w:w="120" w:type="dxa"/>
              <w:bottom w:w="80" w:type="dxa"/>
              <w:end w:w="120" w:type="dxa"/>
            </w:tcMar>
            <w:vAlign w:val="center"/>
          </w:tcPr>
          <w:p>
            <w:pPr>
              <w:spacing w:after="0"/>
            </w:pPr>
            <w:r>
              <w:rPr>
                <w:rFonts w:ascii="Calibri" w:hAnsi="Calibri"/>
                <w:color w:val="172033"/>
                <w:sz w:val="18"/>
              </w:rPr>
              <w:t>Owner authorization has not been issued.</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final gate and sign Section 16.</w:t>
            </w:r>
          </w:p>
        </w:tc>
        <w:tc>
          <w:tcPr>
            <w:tcW w:type="dxa" w:w="2760"/>
            <w:tcMar>
              <w:top w:w="80" w:type="dxa"/>
              <w:start w:w="120" w:type="dxa"/>
              <w:bottom w:w="80" w:type="dxa"/>
              <w:end w:w="120" w:type="dxa"/>
            </w:tcMar>
            <w:vAlign w:val="center"/>
          </w:tcPr>
          <w:p>
            <w:pPr>
              <w:spacing w:after="0"/>
            </w:pPr>
            <w:r>
              <w:rPr>
                <w:rFonts w:ascii="Calibri" w:hAnsi="Calibri"/>
                <w:color w:val="172033"/>
                <w:sz w:val="18"/>
              </w:rPr>
              <w:t>Written authorization and release IDs.</w:t>
            </w:r>
          </w:p>
        </w:tc>
      </w:tr>
    </w:tbl>
    <w:p>
      <w:pPr>
        <w:spacing w:after="20"/>
      </w:pPr>
    </w:p>
    <w:p>
      <w:r>
        <w:br w:type="page"/>
      </w:r>
    </w:p>
    <w:p>
      <w:pPr>
        <w:pStyle w:val="Heading1"/>
      </w:pPr>
      <w:r>
        <w:t>1. Google OAuth through Supabase</w:t>
      </w:r>
    </w:p>
    <w:p>
      <w:pPr>
        <w:spacing w:before="100" w:after="160" w:line="288" w:lineRule="auto"/>
        <w:ind w:left="115" w:right="115"/>
        <w:shd w:fill="E8EEF5"/>
        <w:pBdr>
          <w:left w:val="single" w:sz="18" w:space="8" w:color="163A5F"/>
        </w:pBdr>
      </w:pPr>
      <w:r>
        <w:rPr>
          <w:rFonts w:ascii="Calibri" w:hAnsi="Calibri"/>
          <w:b/>
          <w:color w:val="163A5F"/>
          <w:sz w:val="21"/>
        </w:rPr>
        <w:t xml:space="preserve">BOUNDARY  </w:t>
      </w:r>
      <w:r>
        <w:rPr>
          <w:rFonts w:ascii="Calibri" w:hAnsi="Calibri"/>
          <w:color w:val="172033"/>
          <w:sz w:val="21"/>
        </w:rPr>
        <w:t>Google authentication is for website accounts and license management only. Do not request Gmail access here; the optional desktop Gmail integration is separate and local.</w:t>
      </w:r>
    </w:p>
    <w:p>
      <w:pPr>
        <w:pStyle w:val="Heading2"/>
      </w:pPr>
      <w:r>
        <w:t>1.1 Create the Google web client</w:t>
      </w:r>
    </w:p>
    <w:p>
      <w:pPr>
        <w:spacing w:before="100" w:after="160" w:line="288" w:lineRule="auto"/>
        <w:ind w:left="115" w:right="115"/>
        <w:shd w:fill="EAF7EF"/>
        <w:pBdr>
          <w:left w:val="single" w:sz="18" w:space="8" w:color="17663A"/>
        </w:pBdr>
      </w:pPr>
      <w:r>
        <w:rPr>
          <w:rFonts w:ascii="Calibri" w:hAnsi="Calibri"/>
          <w:b/>
          <w:color w:val="17663A"/>
          <w:sz w:val="21"/>
        </w:rPr>
        <w:t xml:space="preserve">CURRENT EVIDENCE  </w:t>
      </w:r>
      <w:r>
        <w:rPr>
          <w:rFonts w:ascii="Calibri" w:hAnsi="Calibri"/>
          <w:color w:val="172033"/>
          <w:sz w:val="21"/>
        </w:rPr>
        <w:t>Completed 30 July 2026. Dedicated Google Cloud project: GODFIN Website; project ID: godfin-website; project number: 173410737907. The active web client is GODFIN Website Rotated. Supabase Google authentication is enabled, the original client is revoked, and two production callback runs returned the owner account to /account. Do not reuse this website client for the optional desktop Gmail integration.</w:t>
      </w:r>
    </w:p>
    <w:p>
      <w:pPr>
        <w:keepLines/>
        <w:numPr>
          <w:ilvl w:val="0"/>
          <w:numId w:val="10"/>
        </w:numPr>
      </w:pPr>
      <w:r>
        <w:t>Open Google Cloud Console in the business-owned project. Enable two-factor authentication for every administrator.</w:t>
      </w:r>
    </w:p>
    <w:p>
      <w:pPr>
        <w:keepLines/>
        <w:numPr>
          <w:ilvl w:val="0"/>
          <w:numId w:val="10"/>
        </w:numPr>
      </w:pPr>
      <w:r>
        <w:t>Configure the OAuth consent screen. Use the final seller name, support email, privacy URL, terms URL, and verified domain. Choose the appropriate external/testing status for the launch stage.</w:t>
      </w:r>
    </w:p>
    <w:p>
      <w:pPr>
        <w:keepLines/>
        <w:numPr>
          <w:ilvl w:val="0"/>
          <w:numId w:val="10"/>
        </w:numPr>
      </w:pPr>
      <w:r>
        <w:t>Request only openid, email, and profile through this website client. Do not add Gmail or finance scopes.</w:t>
      </w:r>
    </w:p>
    <w:p>
      <w:pPr>
        <w:keepLines/>
        <w:numPr>
          <w:ilvl w:val="0"/>
          <w:numId w:val="10"/>
        </w:numPr>
      </w:pPr>
      <w:r>
        <w:t>Create an OAuth 2.0 Client ID of type Web application.</w:t>
      </w:r>
    </w:p>
    <w:p>
      <w:pPr>
        <w:keepLines/>
        <w:numPr>
          <w:ilvl w:val="0"/>
          <w:numId w:val="10"/>
        </w:numPr>
      </w:pPr>
      <w:r>
        <w:t>Add authorized JavaScript origins: https://godfin.vercel.app now; add https://godfin.dev and https://www.godfin.dev after domain connection.</w:t>
      </w:r>
    </w:p>
    <w:p>
      <w:pPr>
        <w:keepLines/>
        <w:numPr>
          <w:ilvl w:val="0"/>
          <w:numId w:val="10"/>
        </w:numPr>
      </w:pPr>
      <w:r>
        <w:t>In Supabase Dashboard → Authentication → Providers → Google, copy the exact callback URL. For this project it follows https://omrtkfwjauyakhvynutk.supabase.co/auth/v1/callback. Add that exact value as the Google authorized redirect URI.</w:t>
      </w:r>
    </w:p>
    <w:p>
      <w:pPr>
        <w:keepLines/>
        <w:numPr>
          <w:ilvl w:val="0"/>
          <w:numId w:val="10"/>
        </w:numPr>
      </w:pPr>
      <w:r>
        <w:t>Copy the client ID and client secret directly from Google into the Supabase Google provider form. Do not download or commit a client-secret JSON file.</w:t>
      </w:r>
    </w:p>
    <w:p>
      <w:r>
        <w:br w:type="page"/>
      </w:r>
    </w:p>
    <w:p>
      <w:pPr>
        <w:pStyle w:val="Heading2"/>
      </w:pPr>
      <w:r>
        <w:t>1.2 Configure and test Supabase</w:t>
      </w:r>
    </w:p>
    <w:p>
      <w:pPr>
        <w:keepLines/>
        <w:numPr>
          <w:ilvl w:val="0"/>
          <w:numId w:val="10"/>
        </w:numPr>
      </w:pPr>
      <w:r>
        <w:t>In Supabase Authentication → URL Configuration, set Site URL to https://godfin.vercel.app until the custom domain is live.</w:t>
      </w:r>
    </w:p>
    <w:p>
      <w:pPr>
        <w:keepLines/>
        <w:numPr>
          <w:ilvl w:val="0"/>
          <w:numId w:val="10"/>
        </w:numPr>
      </w:pPr>
      <w:r>
        <w:t>Add https://godfin.vercel.app/auth/callback to the redirect allow-list. Later add https://godfin.dev/auth/callback and switch the Site URL to the custom domain.</w:t>
      </w:r>
    </w:p>
    <w:p>
      <w:pPr>
        <w:keepLines/>
        <w:numPr>
          <w:ilvl w:val="0"/>
          <w:numId w:val="10"/>
        </w:numPr>
      </w:pPr>
      <w:r>
        <w:t>Enable the Google provider and save.</w:t>
      </w:r>
    </w:p>
    <w:p>
      <w:pPr>
        <w:keepLines/>
        <w:numPr>
          <w:ilvl w:val="0"/>
          <w:numId w:val="10"/>
        </w:numPr>
      </w:pPr>
      <w:r>
        <w:t>Open https://godfin.vercel.app/account in a private browser window, choose Google, complete consent, and verify return to /account.</w:t>
      </w:r>
    </w:p>
    <w:p>
      <w:pPr>
        <w:keepLines/>
        <w:numPr>
          <w:ilvl w:val="0"/>
          <w:numId w:val="10"/>
        </w:numPr>
      </w:pPr>
      <w:r>
        <w:t>Sign out and repeat with a second test Google account. Confirm neither account can see the other account’s purchases, licenses, activations, or waitlist data.</w:t>
      </w:r>
    </w:p>
    <w:p>
      <w:pPr>
        <w:keepLines/>
        <w:numPr>
          <w:ilvl w:val="0"/>
          <w:numId w:val="10"/>
        </w:numPr>
      </w:pPr>
      <w:r>
        <w:t>Review Supabase Auth logs for redirect, consent, or email mismatch errors. Remove obsolete test clients when verification is complete.</w:t>
      </w:r>
    </w:p>
    <w:p>
      <w:pPr>
        <w:pStyle w:val="RunbookCaption"/>
      </w:pPr>
      <w:r>
        <w:t xml:space="preserve">Official reference: </w:t>
      </w:r>
      <w:hyperlink r:id="rId11">
        <w:r>
          <w:rPr>
            <w:color w:val="2E74B5"/>
            <w:u w:val="single"/>
          </w:rPr>
          <w:t>Supabase Google authentication guide</w:t>
        </w:r>
      </w:hyperlink>
    </w:p>
    <w:p>
      <w:pPr>
        <w:keepLines/>
        <w:numPr>
          <w:ilvl w:val="0"/>
          <w:numId w:val="12"/>
        </w:numPr>
      </w:pPr>
      <w:r>
        <w:t>Google login succeeds from a private window.</w:t>
      </w:r>
    </w:p>
    <w:p>
      <w:pPr>
        <w:keepLines/>
        <w:numPr>
          <w:ilvl w:val="0"/>
          <w:numId w:val="12"/>
        </w:numPr>
      </w:pPr>
      <w:r>
        <w:t>The account page shows the signed-in email and no other user’s data.</w:t>
      </w:r>
    </w:p>
    <w:p>
      <w:pPr>
        <w:keepLines/>
        <w:numPr>
          <w:ilvl w:val="0"/>
          <w:numId w:val="12"/>
        </w:numPr>
      </w:pPr>
      <w:r>
        <w:t>Only openid/email/profile consent appears.</w:t>
      </w:r>
    </w:p>
    <w:p>
      <w:pPr>
        <w:keepLines/>
        <w:numPr>
          <w:ilvl w:val="0"/>
          <w:numId w:val="12"/>
        </w:numPr>
      </w:pPr>
      <w:r>
        <w:t>The client secret exists only in Google/Supabase and the business vault.</w:t>
      </w:r>
    </w:p>
    <w:p>
      <w:pPr>
        <w:spacing w:before="100" w:after="160" w:line="288" w:lineRule="auto"/>
        <w:ind w:left="115" w:right="115"/>
        <w:shd w:fill="EAF7EF"/>
        <w:pBdr>
          <w:left w:val="single" w:sz="18" w:space="8" w:color="17663A"/>
        </w:pBdr>
      </w:pPr>
      <w:r>
        <w:rPr>
          <w:rFonts w:ascii="Calibri" w:hAnsi="Calibri"/>
          <w:b/>
          <w:color w:val="17663A"/>
          <w:sz w:val="21"/>
        </w:rPr>
        <w:t xml:space="preserve">VERIFIED  </w:t>
      </w:r>
      <w:r>
        <w:rPr>
          <w:rFonts w:ascii="Calibri" w:hAnsi="Calibri"/>
          <w:color w:val="172033"/>
          <w:sz w:val="21"/>
        </w:rPr>
        <w:t>The production origin is https://godfin.vercel.app, the Supabase callback is https://omrtkfwjauyakhvynutk.supabase.co/auth/v1/callback, and the website callback is https://godfin.vercel.app/auth/callback. A distinct second-account isolation test remains a pre-launch gate.</w:t>
      </w:r>
    </w:p>
    <w:p>
      <w:pPr>
        <w:spacing w:after="80"/>
      </w:pPr>
      <w:r>
        <w:rPr>
          <w:b/>
        </w:rPr>
        <w:t xml:space="preserve">Google OAuth client name: </w:t>
      </w:r>
      <w:r>
        <w:t>__________________________________________________________________________</w:t>
      </w:r>
    </w:p>
    <w:p>
      <w:pPr>
        <w:spacing w:after="80"/>
      </w:pPr>
      <w:r>
        <w:rPr>
          <w:b/>
        </w:rPr>
        <w:t xml:space="preserve">Test accounts used: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2. Stripe India: one-time payments only</w:t>
      </w:r>
    </w:p>
    <w:p>
      <w:pPr>
        <w:spacing w:before="100" w:after="160" w:line="288" w:lineRule="auto"/>
        <w:ind w:left="115" w:right="115"/>
        <w:shd w:fill="FDECEC"/>
        <w:pBdr>
          <w:left w:val="single" w:sz="18" w:space="8" w:color="9B1C1C"/>
        </w:pBdr>
      </w:pPr>
      <w:r>
        <w:rPr>
          <w:rFonts w:ascii="Calibri" w:hAnsi="Calibri"/>
          <w:b/>
          <w:color w:val="9B1C1C"/>
          <w:sz w:val="21"/>
        </w:rPr>
        <w:t xml:space="preserve">HARD RULE  </w:t>
      </w:r>
      <w:r>
        <w:rPr>
          <w:rFonts w:ascii="Calibri" w:hAnsi="Calibri"/>
          <w:color w:val="172033"/>
          <w:sz w:val="21"/>
        </w:rPr>
        <w:t>Create one-time prices and Checkout mode=payment only. Pro and Max include zero hosted AI credits. Credit packs are separate one-time purchases. Never create a subscription, trial, recurring price, or monthly allowance.</w:t>
      </w:r>
    </w:p>
    <w:p>
      <w:pPr>
        <w:pStyle w:val="Heading2"/>
      </w:pPr>
      <w:r>
        <w:t>2.1 Complete the business account</w:t>
      </w:r>
    </w:p>
    <w:p>
      <w:pPr>
        <w:keepLines/>
        <w:numPr>
          <w:ilvl w:val="0"/>
          <w:numId w:val="10"/>
        </w:numPr>
      </w:pPr>
      <w:r>
        <w:t>Use a Stripe account owned by the legal seller. Complete India activation, KYC, bank verification, statement descriptor, customer support details, tax settings, and two-factor authentication.</w:t>
      </w:r>
    </w:p>
    <w:p>
      <w:pPr>
        <w:keepLines/>
        <w:numPr>
          <w:ilvl w:val="0"/>
          <w:numId w:val="10"/>
        </w:numPr>
      </w:pPr>
      <w:r>
        <w:t>Invite a backup administrator with the minimum role needed. Do not share one login.</w:t>
      </w:r>
    </w:p>
    <w:p>
      <w:pPr>
        <w:keepLines/>
        <w:numPr>
          <w:ilvl w:val="0"/>
          <w:numId w:val="10"/>
        </w:numPr>
      </w:pPr>
      <w:r>
        <w:t>Confirm with Stripe and your tax adviser that the account may sell one-time software licenses domestically and internationally, and how GST/invoices/refunds must be handled.</w:t>
      </w:r>
    </w:p>
    <w:p>
      <w:pPr>
        <w:keepLines/>
        <w:numPr>
          <w:ilvl w:val="0"/>
          <w:numId w:val="10"/>
        </w:numPr>
      </w:pPr>
      <w:r>
        <w:t>Enable Radar’s supported payment-fraud controls. Do not build hardware serial, persistent IP fingerprint, or payment-method fingerprint storage in GODFIN.</w:t>
      </w:r>
    </w:p>
    <w:p>
      <w:pPr>
        <w:pStyle w:val="Heading2"/>
      </w:pPr>
      <w:r>
        <w:t>2.2 Create test products and prices</w:t>
      </w:r>
    </w:p>
    <w:tbl>
      <w:tblPr>
        <w:tblStyle w:val="TableGrid"/>
        <w:tblW w:type="dxa" w:w="9360"/>
        <w:tblLayout w:type="fixed"/>
        <w:tblLook w:firstColumn="1" w:firstRow="1" w:lastColumn="0" w:lastRow="0" w:noHBand="0" w:noVBand="1" w:val="04A0"/>
        <w:tblInd w:w="120" w:type="dxa"/>
      </w:tblPr>
      <w:tblGrid>
        <w:gridCol w:w="2600"/>
        <w:gridCol w:w="3100"/>
        <w:gridCol w:w="1100"/>
        <w:gridCol w:w="2560"/>
      </w:tblGrid>
      <w:tr>
        <w:trPr>
          <w:tblHeader w:val="true"/>
        </w:trPr>
        <w:tc>
          <w:tcPr>
            <w:tcW w:type="dxa" w:w="2600"/>
            <w:shd w:fill="E8EEF5"/>
            <w:tcMar>
              <w:top w:w="80" w:type="dxa"/>
              <w:start w:w="120" w:type="dxa"/>
              <w:bottom w:w="80" w:type="dxa"/>
              <w:end w:w="120" w:type="dxa"/>
            </w:tcMar>
            <w:vAlign w:val="center"/>
          </w:tcPr>
          <w:p>
            <w:pPr>
              <w:spacing w:after="0"/>
            </w:pPr>
            <w:r>
              <w:rPr>
                <w:rFonts w:ascii="Calibri" w:hAnsi="Calibri"/>
                <w:b/>
                <w:color w:val="163A5F"/>
                <w:sz w:val="19"/>
              </w:rPr>
              <w:t>Environment variable</w:t>
            </w:r>
          </w:p>
        </w:tc>
        <w:tc>
          <w:tcPr>
            <w:tcW w:type="dxa" w:w="3100"/>
            <w:shd w:fill="E8EEF5"/>
            <w:tcMar>
              <w:top w:w="80" w:type="dxa"/>
              <w:start w:w="120" w:type="dxa"/>
              <w:bottom w:w="80" w:type="dxa"/>
              <w:end w:w="120" w:type="dxa"/>
            </w:tcMar>
            <w:vAlign w:val="center"/>
          </w:tcPr>
          <w:p>
            <w:pPr>
              <w:spacing w:after="0"/>
            </w:pPr>
            <w:r>
              <w:rPr>
                <w:rFonts w:ascii="Calibri" w:hAnsi="Calibri"/>
                <w:b/>
                <w:color w:val="163A5F"/>
                <w:sz w:val="19"/>
              </w:rPr>
              <w:t>Product</w:t>
            </w:r>
          </w:p>
        </w:tc>
        <w:tc>
          <w:tcPr>
            <w:tcW w:type="dxa" w:w="1100"/>
            <w:shd w:fill="E8EEF5"/>
            <w:tcMar>
              <w:top w:w="80" w:type="dxa"/>
              <w:start w:w="120" w:type="dxa"/>
              <w:bottom w:w="80" w:type="dxa"/>
              <w:end w:w="120" w:type="dxa"/>
            </w:tcMar>
            <w:vAlign w:val="center"/>
          </w:tcPr>
          <w:p>
            <w:pPr>
              <w:spacing w:after="0"/>
            </w:pPr>
            <w:r>
              <w:rPr>
                <w:rFonts w:ascii="Calibri" w:hAnsi="Calibri"/>
                <w:b/>
                <w:color w:val="163A5F"/>
                <w:sz w:val="19"/>
              </w:rPr>
              <w:t>Currency</w:t>
            </w:r>
          </w:p>
        </w:tc>
        <w:tc>
          <w:tcPr>
            <w:tcW w:type="dxa" w:w="2560"/>
            <w:shd w:fill="E8EEF5"/>
            <w:tcMar>
              <w:top w:w="80" w:type="dxa"/>
              <w:start w:w="120" w:type="dxa"/>
              <w:bottom w:w="80" w:type="dxa"/>
              <w:end w:w="120" w:type="dxa"/>
            </w:tcMar>
            <w:vAlign w:val="center"/>
          </w:tcPr>
          <w:p>
            <w:pPr>
              <w:spacing w:after="0"/>
            </w:pPr>
            <w:r>
              <w:rPr>
                <w:rFonts w:ascii="Calibri" w:hAnsi="Calibri"/>
                <w:b/>
                <w:color w:val="163A5F"/>
                <w:sz w:val="19"/>
              </w:rPr>
              <w:t>Exact one-time amount</w:t>
            </w:r>
          </w:p>
        </w:tc>
      </w:tr>
      <w:tr>
        <w:tc>
          <w:tcPr>
            <w:tcW w:type="dxa" w:w="2600"/>
            <w:tcMar>
              <w:top w:w="80" w:type="dxa"/>
              <w:start w:w="120" w:type="dxa"/>
              <w:bottom w:w="80" w:type="dxa"/>
              <w:end w:w="120" w:type="dxa"/>
            </w:tcMar>
            <w:vAlign w:val="center"/>
          </w:tcPr>
          <w:p>
            <w:pPr>
              <w:spacing w:after="0"/>
            </w:pPr>
            <w:r>
              <w:rPr>
                <w:rFonts w:ascii="Calibri" w:hAnsi="Calibri"/>
                <w:color w:val="172033"/>
                <w:sz w:val="18"/>
              </w:rPr>
              <w:t>STRIPE_PRICE_PRO</w:t>
            </w:r>
          </w:p>
        </w:tc>
        <w:tc>
          <w:tcPr>
            <w:tcW w:type="dxa" w:w="3100"/>
            <w:tcMar>
              <w:top w:w="80" w:type="dxa"/>
              <w:start w:w="120" w:type="dxa"/>
              <w:bottom w:w="80" w:type="dxa"/>
              <w:end w:w="120" w:type="dxa"/>
            </w:tcMar>
            <w:vAlign w:val="center"/>
          </w:tcPr>
          <w:p>
            <w:pPr>
              <w:spacing w:after="0"/>
            </w:pPr>
            <w:r>
              <w:rPr>
                <w:rFonts w:ascii="Calibri" w:hAnsi="Calibri"/>
                <w:color w:val="172033"/>
                <w:sz w:val="18"/>
              </w:rPr>
              <w:t>GODFIN Pro lifetime</w:t>
            </w:r>
          </w:p>
        </w:tc>
        <w:tc>
          <w:tcPr>
            <w:tcW w:type="dxa" w:w="1100"/>
            <w:tcMar>
              <w:top w:w="80" w:type="dxa"/>
              <w:start w:w="120" w:type="dxa"/>
              <w:bottom w:w="80" w:type="dxa"/>
              <w:end w:w="120" w:type="dxa"/>
            </w:tcMar>
            <w:vAlign w:val="center"/>
          </w:tcPr>
          <w:p>
            <w:pPr>
              <w:spacing w:after="0"/>
            </w:pPr>
            <w:r>
              <w:rPr>
                <w:rFonts w:ascii="Calibri" w:hAnsi="Calibri"/>
                <w:color w:val="172033"/>
                <w:sz w:val="18"/>
              </w:rPr>
              <w:t>INR</w:t>
            </w:r>
          </w:p>
        </w:tc>
        <w:tc>
          <w:tcPr>
            <w:tcW w:type="dxa" w:w="2560"/>
            <w:tcMar>
              <w:top w:w="80" w:type="dxa"/>
              <w:start w:w="120" w:type="dxa"/>
              <w:bottom w:w="80" w:type="dxa"/>
              <w:end w:w="120" w:type="dxa"/>
            </w:tcMar>
            <w:vAlign w:val="center"/>
          </w:tcPr>
          <w:p>
            <w:pPr>
              <w:spacing w:after="0"/>
            </w:pPr>
            <w:r>
              <w:rPr>
                <w:rFonts w:ascii="Calibri" w:hAnsi="Calibri"/>
                <w:color w:val="172033"/>
                <w:sz w:val="18"/>
              </w:rPr>
              <w:t>₹4,999</w:t>
            </w:r>
          </w:p>
        </w:tc>
      </w:tr>
      <w:tr>
        <w:tc>
          <w:tcPr>
            <w:tcW w:type="dxa" w:w="2600"/>
            <w:tcMar>
              <w:top w:w="80" w:type="dxa"/>
              <w:start w:w="120" w:type="dxa"/>
              <w:bottom w:w="80" w:type="dxa"/>
              <w:end w:w="120" w:type="dxa"/>
            </w:tcMar>
            <w:vAlign w:val="center"/>
          </w:tcPr>
          <w:p>
            <w:pPr>
              <w:spacing w:after="0"/>
            </w:pPr>
            <w:r>
              <w:rPr>
                <w:rFonts w:ascii="Calibri" w:hAnsi="Calibri"/>
                <w:color w:val="172033"/>
                <w:sz w:val="18"/>
              </w:rPr>
              <w:t>STRIPE_PRICE_MAX</w:t>
            </w:r>
          </w:p>
        </w:tc>
        <w:tc>
          <w:tcPr>
            <w:tcW w:type="dxa" w:w="3100"/>
            <w:tcMar>
              <w:top w:w="80" w:type="dxa"/>
              <w:start w:w="120" w:type="dxa"/>
              <w:bottom w:w="80" w:type="dxa"/>
              <w:end w:w="120" w:type="dxa"/>
            </w:tcMar>
            <w:vAlign w:val="center"/>
          </w:tcPr>
          <w:p>
            <w:pPr>
              <w:spacing w:after="0"/>
            </w:pPr>
            <w:r>
              <w:rPr>
                <w:rFonts w:ascii="Calibri" w:hAnsi="Calibri"/>
                <w:color w:val="172033"/>
                <w:sz w:val="18"/>
              </w:rPr>
              <w:t>GODFIN Max lifetime</w:t>
            </w:r>
          </w:p>
        </w:tc>
        <w:tc>
          <w:tcPr>
            <w:tcW w:type="dxa" w:w="1100"/>
            <w:tcMar>
              <w:top w:w="80" w:type="dxa"/>
              <w:start w:w="120" w:type="dxa"/>
              <w:bottom w:w="80" w:type="dxa"/>
              <w:end w:w="120" w:type="dxa"/>
            </w:tcMar>
            <w:vAlign w:val="center"/>
          </w:tcPr>
          <w:p>
            <w:pPr>
              <w:spacing w:after="0"/>
            </w:pPr>
            <w:r>
              <w:rPr>
                <w:rFonts w:ascii="Calibri" w:hAnsi="Calibri"/>
                <w:color w:val="172033"/>
                <w:sz w:val="18"/>
              </w:rPr>
              <w:t>INR</w:t>
            </w:r>
          </w:p>
        </w:tc>
        <w:tc>
          <w:tcPr>
            <w:tcW w:type="dxa" w:w="2560"/>
            <w:tcMar>
              <w:top w:w="80" w:type="dxa"/>
              <w:start w:w="120" w:type="dxa"/>
              <w:bottom w:w="80" w:type="dxa"/>
              <w:end w:w="120" w:type="dxa"/>
            </w:tcMar>
            <w:vAlign w:val="center"/>
          </w:tcPr>
          <w:p>
            <w:pPr>
              <w:spacing w:after="0"/>
            </w:pPr>
            <w:r>
              <w:rPr>
                <w:rFonts w:ascii="Calibri" w:hAnsi="Calibri"/>
                <w:color w:val="172033"/>
                <w:sz w:val="18"/>
              </w:rPr>
              <w:t>₹9,999</w:t>
            </w:r>
          </w:p>
        </w:tc>
      </w:tr>
      <w:tr>
        <w:tc>
          <w:tcPr>
            <w:tcW w:type="dxa" w:w="2600"/>
            <w:tcMar>
              <w:top w:w="80" w:type="dxa"/>
              <w:start w:w="120" w:type="dxa"/>
              <w:bottom w:w="80" w:type="dxa"/>
              <w:end w:w="120" w:type="dxa"/>
            </w:tcMar>
            <w:vAlign w:val="center"/>
          </w:tcPr>
          <w:p>
            <w:pPr>
              <w:spacing w:after="0"/>
            </w:pPr>
            <w:r>
              <w:rPr>
                <w:rFonts w:ascii="Calibri" w:hAnsi="Calibri"/>
                <w:color w:val="172033"/>
                <w:sz w:val="18"/>
              </w:rPr>
              <w:t>STRIPE_PRICE_PRO_US</w:t>
            </w:r>
          </w:p>
        </w:tc>
        <w:tc>
          <w:tcPr>
            <w:tcW w:type="dxa" w:w="3100"/>
            <w:tcMar>
              <w:top w:w="80" w:type="dxa"/>
              <w:start w:w="120" w:type="dxa"/>
              <w:bottom w:w="80" w:type="dxa"/>
              <w:end w:w="120" w:type="dxa"/>
            </w:tcMar>
            <w:vAlign w:val="center"/>
          </w:tcPr>
          <w:p>
            <w:pPr>
              <w:spacing w:after="0"/>
            </w:pPr>
            <w:r>
              <w:rPr>
                <w:rFonts w:ascii="Calibri" w:hAnsi="Calibri"/>
                <w:color w:val="172033"/>
                <w:sz w:val="18"/>
              </w:rPr>
              <w:t>GODFIN Pro lifetime</w:t>
            </w:r>
          </w:p>
        </w:tc>
        <w:tc>
          <w:tcPr>
            <w:tcW w:type="dxa" w:w="1100"/>
            <w:tcMar>
              <w:top w:w="80" w:type="dxa"/>
              <w:start w:w="120" w:type="dxa"/>
              <w:bottom w:w="80" w:type="dxa"/>
              <w:end w:w="120" w:type="dxa"/>
            </w:tcMar>
            <w:vAlign w:val="center"/>
          </w:tcPr>
          <w:p>
            <w:pPr>
              <w:spacing w:after="0"/>
            </w:pPr>
            <w:r>
              <w:rPr>
                <w:rFonts w:ascii="Calibri" w:hAnsi="Calibri"/>
                <w:color w:val="172033"/>
                <w:sz w:val="18"/>
              </w:rPr>
              <w:t>USD</w:t>
            </w:r>
          </w:p>
        </w:tc>
        <w:tc>
          <w:tcPr>
            <w:tcW w:type="dxa" w:w="2560"/>
            <w:tcMar>
              <w:top w:w="80" w:type="dxa"/>
              <w:start w:w="120" w:type="dxa"/>
              <w:bottom w:w="80" w:type="dxa"/>
              <w:end w:w="120" w:type="dxa"/>
            </w:tcMar>
            <w:vAlign w:val="center"/>
          </w:tcPr>
          <w:p>
            <w:pPr>
              <w:spacing w:after="0"/>
            </w:pPr>
            <w:r>
              <w:rPr>
                <w:rFonts w:ascii="Calibri" w:hAnsi="Calibri"/>
                <w:color w:val="172033"/>
                <w:sz w:val="18"/>
              </w:rPr>
              <w:t>$99</w:t>
            </w:r>
          </w:p>
        </w:tc>
      </w:tr>
      <w:tr>
        <w:tc>
          <w:tcPr>
            <w:tcW w:type="dxa" w:w="2600"/>
            <w:tcMar>
              <w:top w:w="80" w:type="dxa"/>
              <w:start w:w="120" w:type="dxa"/>
              <w:bottom w:w="80" w:type="dxa"/>
              <w:end w:w="120" w:type="dxa"/>
            </w:tcMar>
            <w:vAlign w:val="center"/>
          </w:tcPr>
          <w:p>
            <w:pPr>
              <w:spacing w:after="0"/>
            </w:pPr>
            <w:r>
              <w:rPr>
                <w:rFonts w:ascii="Calibri" w:hAnsi="Calibri"/>
                <w:color w:val="172033"/>
                <w:sz w:val="18"/>
              </w:rPr>
              <w:t>STRIPE_PRICE_MAX_US</w:t>
            </w:r>
          </w:p>
        </w:tc>
        <w:tc>
          <w:tcPr>
            <w:tcW w:type="dxa" w:w="3100"/>
            <w:tcMar>
              <w:top w:w="80" w:type="dxa"/>
              <w:start w:w="120" w:type="dxa"/>
              <w:bottom w:w="80" w:type="dxa"/>
              <w:end w:w="120" w:type="dxa"/>
            </w:tcMar>
            <w:vAlign w:val="center"/>
          </w:tcPr>
          <w:p>
            <w:pPr>
              <w:spacing w:after="0"/>
            </w:pPr>
            <w:r>
              <w:rPr>
                <w:rFonts w:ascii="Calibri" w:hAnsi="Calibri"/>
                <w:color w:val="172033"/>
                <w:sz w:val="18"/>
              </w:rPr>
              <w:t>GODFIN Max lifetime</w:t>
            </w:r>
          </w:p>
        </w:tc>
        <w:tc>
          <w:tcPr>
            <w:tcW w:type="dxa" w:w="1100"/>
            <w:tcMar>
              <w:top w:w="80" w:type="dxa"/>
              <w:start w:w="120" w:type="dxa"/>
              <w:bottom w:w="80" w:type="dxa"/>
              <w:end w:w="120" w:type="dxa"/>
            </w:tcMar>
            <w:vAlign w:val="center"/>
          </w:tcPr>
          <w:p>
            <w:pPr>
              <w:spacing w:after="0"/>
            </w:pPr>
            <w:r>
              <w:rPr>
                <w:rFonts w:ascii="Calibri" w:hAnsi="Calibri"/>
                <w:color w:val="172033"/>
                <w:sz w:val="18"/>
              </w:rPr>
              <w:t>USD</w:t>
            </w:r>
          </w:p>
        </w:tc>
        <w:tc>
          <w:tcPr>
            <w:tcW w:type="dxa" w:w="2560"/>
            <w:tcMar>
              <w:top w:w="80" w:type="dxa"/>
              <w:start w:w="120" w:type="dxa"/>
              <w:bottom w:w="80" w:type="dxa"/>
              <w:end w:w="120" w:type="dxa"/>
            </w:tcMar>
            <w:vAlign w:val="center"/>
          </w:tcPr>
          <w:p>
            <w:pPr>
              <w:spacing w:after="0"/>
            </w:pPr>
            <w:r>
              <w:rPr>
                <w:rFonts w:ascii="Calibri" w:hAnsi="Calibri"/>
                <w:color w:val="172033"/>
                <w:sz w:val="18"/>
              </w:rPr>
              <w:t>$199</w:t>
            </w:r>
          </w:p>
        </w:tc>
      </w:tr>
      <w:tr>
        <w:tc>
          <w:tcPr>
            <w:tcW w:type="dxa" w:w="2600"/>
            <w:tcMar>
              <w:top w:w="80" w:type="dxa"/>
              <w:start w:w="120" w:type="dxa"/>
              <w:bottom w:w="80" w:type="dxa"/>
              <w:end w:w="120" w:type="dxa"/>
            </w:tcMar>
            <w:vAlign w:val="center"/>
          </w:tcPr>
          <w:p>
            <w:pPr>
              <w:spacing w:after="0"/>
            </w:pPr>
            <w:r>
              <w:rPr>
                <w:rFonts w:ascii="Calibri" w:hAnsi="Calibri"/>
                <w:color w:val="172033"/>
                <w:sz w:val="18"/>
              </w:rPr>
              <w:t>STRIPE_PRICE_CREDITS_STARTER</w:t>
            </w:r>
          </w:p>
        </w:tc>
        <w:tc>
          <w:tcPr>
            <w:tcW w:type="dxa" w:w="3100"/>
            <w:tcMar>
              <w:top w:w="80" w:type="dxa"/>
              <w:start w:w="120" w:type="dxa"/>
              <w:bottom w:w="80" w:type="dxa"/>
              <w:end w:w="120" w:type="dxa"/>
            </w:tcMar>
            <w:vAlign w:val="center"/>
          </w:tcPr>
          <w:p>
            <w:pPr>
              <w:spacing w:after="0"/>
            </w:pPr>
            <w:r>
              <w:rPr>
                <w:rFonts w:ascii="Calibri" w:hAnsi="Calibri"/>
                <w:color w:val="172033"/>
                <w:sz w:val="18"/>
              </w:rPr>
              <w:t>500 hosted credits</w:t>
            </w:r>
          </w:p>
        </w:tc>
        <w:tc>
          <w:tcPr>
            <w:tcW w:type="dxa" w:w="1100"/>
            <w:tcMar>
              <w:top w:w="80" w:type="dxa"/>
              <w:start w:w="120" w:type="dxa"/>
              <w:bottom w:w="80" w:type="dxa"/>
              <w:end w:w="120" w:type="dxa"/>
            </w:tcMar>
            <w:vAlign w:val="center"/>
          </w:tcPr>
          <w:p>
            <w:pPr>
              <w:spacing w:after="0"/>
            </w:pPr>
            <w:r>
              <w:rPr>
                <w:rFonts w:ascii="Calibri" w:hAnsi="Calibri"/>
                <w:color w:val="172033"/>
                <w:sz w:val="18"/>
              </w:rPr>
              <w:t>INR</w:t>
            </w:r>
          </w:p>
        </w:tc>
        <w:tc>
          <w:tcPr>
            <w:tcW w:type="dxa" w:w="2560"/>
            <w:tcMar>
              <w:top w:w="80" w:type="dxa"/>
              <w:start w:w="120" w:type="dxa"/>
              <w:bottom w:w="80" w:type="dxa"/>
              <w:end w:w="120" w:type="dxa"/>
            </w:tcMar>
            <w:vAlign w:val="center"/>
          </w:tcPr>
          <w:p>
            <w:pPr>
              <w:spacing w:after="0"/>
            </w:pPr>
            <w:r>
              <w:rPr>
                <w:rFonts w:ascii="Calibri" w:hAnsi="Calibri"/>
                <w:color w:val="172033"/>
                <w:sz w:val="18"/>
              </w:rPr>
              <w:t>₹249</w:t>
            </w:r>
          </w:p>
        </w:tc>
      </w:tr>
      <w:tr>
        <w:tc>
          <w:tcPr>
            <w:tcW w:type="dxa" w:w="2600"/>
            <w:tcMar>
              <w:top w:w="80" w:type="dxa"/>
              <w:start w:w="120" w:type="dxa"/>
              <w:bottom w:w="80" w:type="dxa"/>
              <w:end w:w="120" w:type="dxa"/>
            </w:tcMar>
            <w:vAlign w:val="center"/>
          </w:tcPr>
          <w:p>
            <w:pPr>
              <w:spacing w:after="0"/>
            </w:pPr>
            <w:r>
              <w:rPr>
                <w:rFonts w:ascii="Calibri" w:hAnsi="Calibri"/>
                <w:color w:val="172033"/>
                <w:sz w:val="18"/>
              </w:rPr>
              <w:t>STRIPE_PRICE_CREDITS_REGULAR</w:t>
            </w:r>
          </w:p>
        </w:tc>
        <w:tc>
          <w:tcPr>
            <w:tcW w:type="dxa" w:w="3100"/>
            <w:tcMar>
              <w:top w:w="80" w:type="dxa"/>
              <w:start w:w="120" w:type="dxa"/>
              <w:bottom w:w="80" w:type="dxa"/>
              <w:end w:w="120" w:type="dxa"/>
            </w:tcMar>
            <w:vAlign w:val="center"/>
          </w:tcPr>
          <w:p>
            <w:pPr>
              <w:spacing w:after="0"/>
            </w:pPr>
            <w:r>
              <w:rPr>
                <w:rFonts w:ascii="Calibri" w:hAnsi="Calibri"/>
                <w:color w:val="172033"/>
                <w:sz w:val="18"/>
              </w:rPr>
              <w:t>1,200 hosted credits</w:t>
            </w:r>
          </w:p>
        </w:tc>
        <w:tc>
          <w:tcPr>
            <w:tcW w:type="dxa" w:w="1100"/>
            <w:tcMar>
              <w:top w:w="80" w:type="dxa"/>
              <w:start w:w="120" w:type="dxa"/>
              <w:bottom w:w="80" w:type="dxa"/>
              <w:end w:w="120" w:type="dxa"/>
            </w:tcMar>
            <w:vAlign w:val="center"/>
          </w:tcPr>
          <w:p>
            <w:pPr>
              <w:spacing w:after="0"/>
            </w:pPr>
            <w:r>
              <w:rPr>
                <w:rFonts w:ascii="Calibri" w:hAnsi="Calibri"/>
                <w:color w:val="172033"/>
                <w:sz w:val="18"/>
              </w:rPr>
              <w:t>INR</w:t>
            </w:r>
          </w:p>
        </w:tc>
        <w:tc>
          <w:tcPr>
            <w:tcW w:type="dxa" w:w="2560"/>
            <w:tcMar>
              <w:top w:w="80" w:type="dxa"/>
              <w:start w:w="120" w:type="dxa"/>
              <w:bottom w:w="80" w:type="dxa"/>
              <w:end w:w="120" w:type="dxa"/>
            </w:tcMar>
            <w:vAlign w:val="center"/>
          </w:tcPr>
          <w:p>
            <w:pPr>
              <w:spacing w:after="0"/>
            </w:pPr>
            <w:r>
              <w:rPr>
                <w:rFonts w:ascii="Calibri" w:hAnsi="Calibri"/>
                <w:color w:val="172033"/>
                <w:sz w:val="18"/>
              </w:rPr>
              <w:t>₹499</w:t>
            </w:r>
          </w:p>
        </w:tc>
      </w:tr>
      <w:tr>
        <w:tc>
          <w:tcPr>
            <w:tcW w:type="dxa" w:w="2600"/>
            <w:tcMar>
              <w:top w:w="80" w:type="dxa"/>
              <w:start w:w="120" w:type="dxa"/>
              <w:bottom w:w="80" w:type="dxa"/>
              <w:end w:w="120" w:type="dxa"/>
            </w:tcMar>
            <w:vAlign w:val="center"/>
          </w:tcPr>
          <w:p>
            <w:pPr>
              <w:spacing w:after="0"/>
            </w:pPr>
            <w:r>
              <w:rPr>
                <w:rFonts w:ascii="Calibri" w:hAnsi="Calibri"/>
                <w:color w:val="172033"/>
                <w:sz w:val="18"/>
              </w:rPr>
              <w:t>STRIPE_PRICE_CREDITS_POWER</w:t>
            </w:r>
          </w:p>
        </w:tc>
        <w:tc>
          <w:tcPr>
            <w:tcW w:type="dxa" w:w="3100"/>
            <w:tcMar>
              <w:top w:w="80" w:type="dxa"/>
              <w:start w:w="120" w:type="dxa"/>
              <w:bottom w:w="80" w:type="dxa"/>
              <w:end w:w="120" w:type="dxa"/>
            </w:tcMar>
            <w:vAlign w:val="center"/>
          </w:tcPr>
          <w:p>
            <w:pPr>
              <w:spacing w:after="0"/>
            </w:pPr>
            <w:r>
              <w:rPr>
                <w:rFonts w:ascii="Calibri" w:hAnsi="Calibri"/>
                <w:color w:val="172033"/>
                <w:sz w:val="18"/>
              </w:rPr>
              <w:t>3,000 hosted credits</w:t>
            </w:r>
          </w:p>
        </w:tc>
        <w:tc>
          <w:tcPr>
            <w:tcW w:type="dxa" w:w="1100"/>
            <w:tcMar>
              <w:top w:w="80" w:type="dxa"/>
              <w:start w:w="120" w:type="dxa"/>
              <w:bottom w:w="80" w:type="dxa"/>
              <w:end w:w="120" w:type="dxa"/>
            </w:tcMar>
            <w:vAlign w:val="center"/>
          </w:tcPr>
          <w:p>
            <w:pPr>
              <w:spacing w:after="0"/>
            </w:pPr>
            <w:r>
              <w:rPr>
                <w:rFonts w:ascii="Calibri" w:hAnsi="Calibri"/>
                <w:color w:val="172033"/>
                <w:sz w:val="18"/>
              </w:rPr>
              <w:t>INR</w:t>
            </w:r>
          </w:p>
        </w:tc>
        <w:tc>
          <w:tcPr>
            <w:tcW w:type="dxa" w:w="2560"/>
            <w:tcMar>
              <w:top w:w="80" w:type="dxa"/>
              <w:start w:w="120" w:type="dxa"/>
              <w:bottom w:w="80" w:type="dxa"/>
              <w:end w:w="120" w:type="dxa"/>
            </w:tcMar>
            <w:vAlign w:val="center"/>
          </w:tcPr>
          <w:p>
            <w:pPr>
              <w:spacing w:after="0"/>
            </w:pPr>
            <w:r>
              <w:rPr>
                <w:rFonts w:ascii="Calibri" w:hAnsi="Calibri"/>
                <w:color w:val="172033"/>
                <w:sz w:val="18"/>
              </w:rPr>
              <w:t>₹999</w:t>
            </w:r>
          </w:p>
        </w:tc>
      </w:tr>
    </w:tbl>
    <w:p>
      <w:pPr>
        <w:spacing w:after="20"/>
      </w:pPr>
    </w:p>
    <w:p>
      <w:pPr>
        <w:keepLines/>
        <w:numPr>
          <w:ilvl w:val="0"/>
          <w:numId w:val="10"/>
        </w:numPr>
      </w:pPr>
      <w:r>
        <w:t>Create every Price as one-time. Keep Test and Live Price IDs separate.</w:t>
      </w:r>
    </w:p>
    <w:p>
      <w:pPr>
        <w:keepLines/>
        <w:numPr>
          <w:ilvl w:val="0"/>
          <w:numId w:val="10"/>
        </w:numPr>
      </w:pPr>
      <w:r>
        <w:t>Add test Price IDs to Vercel Preview first. Add live Price IDs to Production only after all test-mode acceptance checks pass.</w:t>
      </w:r>
    </w:p>
    <w:p>
      <w:pPr>
        <w:keepLines/>
        <w:numPr>
          <w:ilvl w:val="0"/>
          <w:numId w:val="10"/>
        </w:numPr>
      </w:pPr>
      <w:r>
        <w:t>Leave PPP_CHECKOUT_ENABLED=false until US test checkout and country selection are verified. India remains the safe default.</w:t>
      </w:r>
    </w:p>
    <w:p>
      <w:pPr>
        <w:keepLines/>
        <w:numPr>
          <w:ilvl w:val="0"/>
          <w:numId w:val="10"/>
        </w:numPr>
      </w:pPr>
      <w:r>
        <w:t>For each new country, use a manual Stripe Price table based on the approved World Bank ICP price-level adjustment, clamped to 0.55–1.25 of the US anchor. Record the source year and approval; recalculate annually.</w:t>
      </w:r>
    </w:p>
    <w:p>
      <w:pPr>
        <w:keepLines/>
        <w:numPr>
          <w:ilvl w:val="0"/>
          <w:numId w:val="10"/>
        </w:numPr>
      </w:pPr>
      <w:r>
        <w:t>Do not let browser-supplied amounts reach Stripe. GODFIN already selects product, country, price ID, and expected amount server-side.</w:t>
      </w:r>
    </w:p>
    <w:p>
      <w:pPr>
        <w:pStyle w:val="Heading2"/>
      </w:pPr>
      <w:r>
        <w:t>2.3 Configure the webhook</w:t>
      </w:r>
    </w:p>
    <w:p>
      <w:pPr>
        <w:keepLines/>
        <w:numPr>
          <w:ilvl w:val="0"/>
          <w:numId w:val="10"/>
        </w:numPr>
      </w:pPr>
      <w:r>
        <w:t>Create a Test webhook endpoint at https://godfin.vercel.app/api/webhook.</w:t>
      </w:r>
    </w:p>
    <w:p>
      <w:pPr>
        <w:keepLines/>
        <w:numPr>
          <w:ilvl w:val="0"/>
          <w:numId w:val="10"/>
        </w:numPr>
      </w:pPr>
      <w:r>
        <w:t>Subscribe only to checkout.session.completed and checkout.session.async_payment_succeeded.</w:t>
      </w:r>
    </w:p>
    <w:p>
      <w:pPr>
        <w:keepLines/>
        <w:numPr>
          <w:ilvl w:val="0"/>
          <w:numId w:val="10"/>
        </w:numPr>
      </w:pPr>
      <w:r>
        <w:t>Copy the webhook signing secret directly into STRIPE_WEBHOOK_SECRET in Vercel Preview. Repeat with the live endpoint and Production secret after the custom domain is final.</w:t>
      </w:r>
    </w:p>
    <w:p>
      <w:pPr>
        <w:keepLines/>
        <w:numPr>
          <w:ilvl w:val="0"/>
          <w:numId w:val="10"/>
        </w:numPr>
      </w:pPr>
      <w:r>
        <w:t>Set STRIPE_SECRET_KEY and all matching Price variables in the same Vercel environment. Redeploy after changes.</w:t>
      </w:r>
    </w:p>
    <w:p>
      <w:pPr>
        <w:keepLines/>
        <w:numPr>
          <w:ilvl w:val="0"/>
          <w:numId w:val="10"/>
        </w:numPr>
      </w:pPr>
      <w:r>
        <w:t>Use Stripe CLI or Dashboard replay to send the same paid event twice. Verify one purchase, one license, one credit grant if applicable, and one license email.</w:t>
      </w:r>
    </w:p>
    <w:p>
      <w:r>
        <w:br w:type="page"/>
      </w:r>
    </w:p>
    <w:p>
      <w:pPr>
        <w:pStyle w:val="Heading2"/>
      </w:pPr>
      <w:r>
        <w:t>2.4 Payment acceptance evidence</w:t>
      </w:r>
    </w:p>
    <w:p>
      <w:pPr>
        <w:keepLines/>
        <w:numPr>
          <w:ilvl w:val="0"/>
          <w:numId w:val="12"/>
        </w:numPr>
      </w:pPr>
      <w:r>
        <w:t>Unauthenticated checkout returns a sign-in requirement.</w:t>
      </w:r>
    </w:p>
    <w:p>
      <w:pPr>
        <w:keepLines/>
        <w:numPr>
          <w:ilvl w:val="0"/>
          <w:numId w:val="12"/>
        </w:numPr>
      </w:pPr>
      <w:r>
        <w:t>Successful Pro and Max test payments provision exactly one lifetime license each.</w:t>
      </w:r>
    </w:p>
    <w:p>
      <w:pPr>
        <w:keepLines/>
        <w:numPr>
          <w:ilvl w:val="0"/>
          <w:numId w:val="12"/>
        </w:numPr>
      </w:pPr>
      <w:r>
        <w:t>Invalid webhook signatures return HTTP 400 and create nothing.</w:t>
      </w:r>
    </w:p>
    <w:p>
      <w:pPr>
        <w:keepLines/>
        <w:numPr>
          <w:ilvl w:val="0"/>
          <w:numId w:val="12"/>
        </w:numPr>
      </w:pPr>
      <w:r>
        <w:t>Cancelled or unpaid sessions create nothing.</w:t>
      </w:r>
    </w:p>
    <w:p>
      <w:pPr>
        <w:keepLines/>
        <w:numPr>
          <w:ilvl w:val="0"/>
          <w:numId w:val="12"/>
        </w:numPr>
      </w:pPr>
      <w:r>
        <w:t>Async payment success provisions exactly once.</w:t>
      </w:r>
    </w:p>
    <w:p>
      <w:pPr>
        <w:keepLines/>
        <w:numPr>
          <w:ilvl w:val="0"/>
          <w:numId w:val="12"/>
        </w:numPr>
      </w:pPr>
      <w:r>
        <w:t>Credit-pack replay does not duplicate the balance.</w:t>
      </w:r>
    </w:p>
    <w:p>
      <w:pPr>
        <w:keepLines/>
        <w:numPr>
          <w:ilvl w:val="0"/>
          <w:numId w:val="12"/>
        </w:numPr>
      </w:pPr>
      <w:r>
        <w:t>The desktop fourth activation is rejected; deactivating one device allows another.</w:t>
      </w:r>
    </w:p>
    <w:p>
      <w:pPr>
        <w:keepLines/>
        <w:numPr>
          <w:ilvl w:val="0"/>
          <w:numId w:val="12"/>
        </w:numPr>
      </w:pPr>
      <w:r>
        <w:t>A controlled live purchase is completed only after legal, tax, email, and refund procedures are ready.</w:t>
      </w:r>
    </w:p>
    <w:p>
      <w:pPr>
        <w:pStyle w:val="RunbookCaption"/>
      </w:pPr>
      <w:r>
        <w:t xml:space="preserve">Official reference: </w:t>
      </w:r>
      <w:hyperlink r:id="rId12">
        <w:r>
          <w:rPr>
            <w:color w:val="2E74B5"/>
            <w:u w:val="single"/>
          </w:rPr>
          <w:t>Stripe India documentation</w:t>
        </w:r>
      </w:hyperlink>
    </w:p>
    <w:p>
      <w:pPr>
        <w:pStyle w:val="RunbookCaption"/>
      </w:pPr>
      <w:r>
        <w:t xml:space="preserve">Official reference: </w:t>
      </w:r>
      <w:hyperlink r:id="rId13">
        <w:r>
          <w:rPr>
            <w:color w:val="2E74B5"/>
            <w:u w:val="single"/>
          </w:rPr>
          <w:t>Stripe webhook signatures</w:t>
        </w:r>
      </w:hyperlink>
    </w:p>
    <w:p>
      <w:pPr>
        <w:spacing w:after="80"/>
      </w:pPr>
      <w:r>
        <w:rPr>
          <w:b/>
        </w:rPr>
        <w:t xml:space="preserve">Stripe account ID: </w:t>
      </w:r>
      <w:r>
        <w:t>__________________________________________________________________________</w:t>
      </w:r>
    </w:p>
    <w:p>
      <w:pPr>
        <w:spacing w:after="80"/>
      </w:pPr>
      <w:r>
        <w:rPr>
          <w:b/>
        </w:rPr>
        <w:t xml:space="preserve">Test webhook endpoint ID: </w:t>
      </w:r>
      <w:r>
        <w:t>__________________________________________________________________________</w:t>
      </w:r>
    </w:p>
    <w:p>
      <w:pPr>
        <w:spacing w:after="80"/>
      </w:pPr>
      <w:r>
        <w:rPr>
          <w:b/>
        </w:rPr>
        <w:t xml:space="preserve">Live webhook endpoint ID: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3. Resend, operational email, and DNS</w:t>
      </w:r>
    </w:p>
    <w:p>
      <w:pPr>
        <w:keepLines/>
        <w:numPr>
          <w:ilvl w:val="0"/>
          <w:numId w:val="10"/>
        </w:numPr>
      </w:pPr>
      <w:r>
        <w:t>Create the Resend account under the business owner, enable two-factor authentication, and add godfin.dev as the sending domain.</w:t>
      </w:r>
    </w:p>
    <w:p>
      <w:pPr>
        <w:keepLines/>
        <w:numPr>
          <w:ilvl w:val="0"/>
          <w:numId w:val="10"/>
        </w:numPr>
      </w:pPr>
      <w:r>
        <w:t>In the authoritative DNS provider, add exactly the SPF and DKIM records supplied by Resend. Do not invent or duplicate SPF records.</w:t>
      </w:r>
    </w:p>
    <w:p>
      <w:pPr>
        <w:keepLines/>
        <w:numPr>
          <w:ilvl w:val="0"/>
          <w:numId w:val="10"/>
        </w:numPr>
      </w:pPr>
      <w:r>
        <w:t>Add a DMARC record. Start with monitoring if necessary, review reports, then tighten with counsel/operations guidance.</w:t>
      </w:r>
    </w:p>
    <w:p>
      <w:pPr>
        <w:keepLines/>
        <w:numPr>
          <w:ilvl w:val="0"/>
          <w:numId w:val="10"/>
        </w:numPr>
      </w:pPr>
      <w:r>
        <w:t>Create monitored addresses or aliases: licenses@godfin.dev, support@godfin.dev, privacy@godfin.dev, legal@godfin.dev, and security@godfin.dev.</w:t>
      </w:r>
    </w:p>
    <w:p>
      <w:pPr>
        <w:keepLines/>
        <w:numPr>
          <w:ilvl w:val="0"/>
          <w:numId w:val="10"/>
        </w:numPr>
      </w:pPr>
      <w:r>
        <w:t>Create a least-privilege production Resend API key. Store it directly as RESEND_API_KEY in Vercel Production and Preview; set RESEND_FROM_EMAIL to GODFIN &lt;licenses@godfin.dev&gt;.</w:t>
      </w:r>
    </w:p>
    <w:p>
      <w:pPr>
        <w:keepLines/>
        <w:numPr>
          <w:ilvl w:val="0"/>
          <w:numId w:val="10"/>
        </w:numPr>
      </w:pPr>
      <w:r>
        <w:t>Redeploy. Submit the waitlist form, receive the confirmation email, confirm once, and verify a repeated confirmation does not duplicate the record.</w:t>
      </w:r>
    </w:p>
    <w:p>
      <w:pPr>
        <w:keepLines/>
        <w:numPr>
          <w:ilvl w:val="0"/>
          <w:numId w:val="10"/>
        </w:numPr>
      </w:pPr>
      <w:r>
        <w:t>Complete a synthetic license email test to Gmail and another provider. Check SPF, DKIM, DMARC alignment, inbox placement, links, mobile layout, plain-text fallback, reply path, and resend behavior.</w:t>
      </w:r>
    </w:p>
    <w:p>
      <w:pPr>
        <w:keepLines/>
        <w:numPr>
          <w:ilvl w:val="0"/>
          <w:numId w:val="12"/>
        </w:numPr>
      </w:pPr>
      <w:r>
        <w:t>Resend domain shows Verified.</w:t>
      </w:r>
    </w:p>
    <w:p>
      <w:pPr>
        <w:keepLines/>
        <w:numPr>
          <w:ilvl w:val="0"/>
          <w:numId w:val="12"/>
        </w:numPr>
      </w:pPr>
      <w:r>
        <w:t>SPF, DKIM, and DMARC checks pass.</w:t>
      </w:r>
    </w:p>
    <w:p>
      <w:pPr>
        <w:keepLines/>
        <w:numPr>
          <w:ilvl w:val="0"/>
          <w:numId w:val="12"/>
        </w:numPr>
      </w:pPr>
      <w:r>
        <w:t>Double-opt-in waitlist works and stores no desktop financial data.</w:t>
      </w:r>
    </w:p>
    <w:p>
      <w:pPr>
        <w:keepLines/>
        <w:numPr>
          <w:ilvl w:val="0"/>
          <w:numId w:val="12"/>
        </w:numPr>
      </w:pPr>
      <w:r>
        <w:t>License delivery works in two mailbox providers.</w:t>
      </w:r>
    </w:p>
    <w:p>
      <w:pPr>
        <w:keepLines/>
        <w:numPr>
          <w:ilvl w:val="0"/>
          <w:numId w:val="12"/>
        </w:numPr>
      </w:pPr>
      <w:r>
        <w:t>Support, privacy, legal, licenses, and security mailboxes are monitored.</w:t>
      </w:r>
    </w:p>
    <w:p>
      <w:pPr>
        <w:pStyle w:val="RunbookCaption"/>
      </w:pPr>
      <w:r>
        <w:t xml:space="preserve">Official reference: </w:t>
      </w:r>
      <w:hyperlink r:id="rId14">
        <w:r>
          <w:rPr>
            <w:color w:val="2E74B5"/>
            <w:u w:val="single"/>
          </w:rPr>
          <w:t>Resend domain verification</w:t>
        </w:r>
      </w:hyperlink>
    </w:p>
    <w:p>
      <w:pPr>
        <w:spacing w:after="80"/>
      </w:pPr>
      <w:r>
        <w:rPr>
          <w:b/>
        </w:rPr>
        <w:t xml:space="preserve">DNS provider: </w:t>
      </w:r>
      <w:r>
        <w:t>__________________________________________________________________________</w:t>
      </w:r>
    </w:p>
    <w:p>
      <w:pPr>
        <w:spacing w:after="80"/>
      </w:pPr>
      <w:r>
        <w:rPr>
          <w:b/>
        </w:rPr>
        <w:t xml:space="preserve">Second test mailbox provider: </w:t>
      </w:r>
      <w:r>
        <w:t>__________________________________________________________________________</w:t>
      </w:r>
    </w:p>
    <w:p>
      <w:pPr>
        <w:spacing w:after="80"/>
      </w:pPr>
      <w:r>
        <w:rPr>
          <w:b/>
        </w:rPr>
        <w:t xml:space="preserve">Support owner: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4. Domain and Vercel production</w:t>
      </w:r>
    </w:p>
    <w:p>
      <w:pPr>
        <w:keepLines/>
        <w:numPr>
          <w:ilvl w:val="0"/>
          <w:numId w:val="10"/>
        </w:numPr>
      </w:pPr>
      <w:r>
        <w:t>Register or confirm control of godfin.dev in a business-owned registrar account. Enable registrar lock, two-factor authentication, auto-renewal, and a recovery contact.</w:t>
      </w:r>
    </w:p>
    <w:p>
      <w:pPr>
        <w:keepLines/>
        <w:numPr>
          <w:ilvl w:val="0"/>
          <w:numId w:val="10"/>
        </w:numPr>
      </w:pPr>
      <w:r>
        <w:t>In Vercel project godfin, add godfin.dev and www.godfin.dev. Copy only the DNS records Vercel displays into the authoritative DNS provider.</w:t>
      </w:r>
    </w:p>
    <w:p>
      <w:pPr>
        <w:keepLines/>
        <w:numPr>
          <w:ilvl w:val="0"/>
          <w:numId w:val="10"/>
        </w:numPr>
      </w:pPr>
      <w:r>
        <w:t>Choose one canonical host. Redirect the other host permanently.</w:t>
      </w:r>
    </w:p>
    <w:p>
      <w:pPr>
        <w:keepLines/>
        <w:numPr>
          <w:ilvl w:val="0"/>
          <w:numId w:val="10"/>
        </w:numPr>
      </w:pPr>
      <w:r>
        <w:t>Set NEXT_PUBLIC_SITE_URL=https://godfin.dev for Production after DNS and HTTPS are ready. Update Google/Supabase redirect allow-lists and Stripe webhook/success/cancel URLs before switching traffic.</w:t>
      </w:r>
    </w:p>
    <w:p>
      <w:pPr>
        <w:keepLines/>
        <w:numPr>
          <w:ilvl w:val="0"/>
          <w:numId w:val="10"/>
        </w:numPr>
      </w:pPr>
      <w:r>
        <w:t>Verify HTTPS, HSTS, CSP, X-Frame-Options, nosniff, Referrer-Policy, Permissions-Policy, sitemap.xml, robots.txt, and a deliberate 404.</w:t>
      </w:r>
    </w:p>
    <w:p>
      <w:pPr>
        <w:keepLines/>
        <w:numPr>
          <w:ilvl w:val="0"/>
          <w:numId w:val="10"/>
        </w:numPr>
      </w:pPr>
      <w:r>
        <w:t>Set immutable signed download URLs only after Section 12 clean-system validation. Do not point download buttons at unsigned local builds.</w:t>
      </w:r>
    </w:p>
    <w:p>
      <w:pPr>
        <w:keepLines/>
        <w:numPr>
          <w:ilvl w:val="0"/>
          <w:numId w:val="12"/>
        </w:numPr>
      </w:pPr>
      <w:r>
        <w:t>Apex and www resolve as designed over HTTPS.</w:t>
      </w:r>
    </w:p>
    <w:p>
      <w:pPr>
        <w:keepLines/>
        <w:numPr>
          <w:ilvl w:val="0"/>
          <w:numId w:val="12"/>
        </w:numPr>
      </w:pPr>
      <w:r>
        <w:t>Account, pricing, download, privacy, terms, docs, waitlist, and callback paths pass.</w:t>
      </w:r>
    </w:p>
    <w:p>
      <w:pPr>
        <w:keepLines/>
        <w:numPr>
          <w:ilvl w:val="0"/>
          <w:numId w:val="12"/>
        </w:numPr>
      </w:pPr>
      <w:r>
        <w:t>Google, Stripe, and Resend use the canonical production host.</w:t>
      </w:r>
    </w:p>
    <w:p>
      <w:pPr>
        <w:keepLines/>
        <w:numPr>
          <w:ilvl w:val="0"/>
          <w:numId w:val="12"/>
        </w:numPr>
      </w:pPr>
      <w:r>
        <w:t>No secret appears in build logs or browser JavaScript.</w:t>
      </w:r>
    </w:p>
    <w:p>
      <w:pPr>
        <w:spacing w:after="80"/>
      </w:pPr>
      <w:r>
        <w:rPr>
          <w:b/>
        </w:rPr>
        <w:t xml:space="preserve">Registrar: </w:t>
      </w:r>
      <w:r>
        <w:t>__________________________________________________________________________</w:t>
      </w:r>
    </w:p>
    <w:p>
      <w:pPr>
        <w:spacing w:after="80"/>
      </w:pPr>
      <w:r>
        <w:rPr>
          <w:b/>
        </w:rPr>
        <w:t xml:space="preserve">Renewal date: </w:t>
      </w:r>
      <w:r>
        <w:t>__________________________________________________________________________</w:t>
      </w:r>
    </w:p>
    <w:p>
      <w:pPr>
        <w:spacing w:after="80"/>
      </w:pPr>
      <w:r>
        <w:rPr>
          <w:b/>
        </w:rPr>
        <w:t xml:space="preserve">Canonical host: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5. License custody and three-device operations</w:t>
      </w:r>
    </w:p>
    <w:p>
      <w:pPr>
        <w:spacing w:before="100" w:after="160" w:line="288" w:lineRule="auto"/>
        <w:ind w:left="115" w:right="115"/>
        <w:shd w:fill="FFF4D8"/>
        <w:pBdr>
          <w:left w:val="single" w:sz="18" w:space="8" w:color="7A5A00"/>
        </w:pBdr>
      </w:pPr>
      <w:r>
        <w:rPr>
          <w:rFonts w:ascii="Calibri" w:hAnsi="Calibri"/>
          <w:b/>
          <w:color w:val="7A5A00"/>
          <w:sz w:val="21"/>
        </w:rPr>
        <w:t xml:space="preserve">CURRENT STATE  </w:t>
      </w:r>
      <w:r>
        <w:rPr>
          <w:rFonts w:ascii="Calibri" w:hAnsi="Calibri"/>
          <w:color w:val="172033"/>
          <w:sz w:val="21"/>
        </w:rPr>
        <w:t>LICENSE_SIGNING_SECRET is already present as an encrypted Vercel variable. Do not replace it casually: issued keys are derived from it. The database stores license hashes, not full license keys.</w:t>
      </w:r>
    </w:p>
    <w:p>
      <w:pPr>
        <w:keepLines/>
        <w:numPr>
          <w:ilvl w:val="0"/>
          <w:numId w:val="10"/>
        </w:numPr>
      </w:pPr>
      <w:r>
        <w:t>Confirm the exact current LICENSE_SIGNING_SECRET is stored in the business password vault with restricted access and a tested offline recovery copy. Never reveal the value.</w:t>
      </w:r>
    </w:p>
    <w:p>
      <w:pPr>
        <w:keepLines/>
        <w:numPr>
          <w:ilvl w:val="0"/>
          <w:numId w:val="10"/>
        </w:numPr>
      </w:pPr>
      <w:r>
        <w:t>Record authorized custodians and an emergency access procedure.</w:t>
      </w:r>
    </w:p>
    <w:p>
      <w:pPr>
        <w:keepLines/>
        <w:numPr>
          <w:ilvl w:val="0"/>
          <w:numId w:val="10"/>
        </w:numPr>
      </w:pPr>
      <w:r>
        <w:t>Use random installation IDs stored in OS secure storage. Do not add hardware serials, payment details, or persistent IP fingerprints.</w:t>
      </w:r>
    </w:p>
    <w:p>
      <w:pPr>
        <w:keepLines/>
        <w:numPr>
          <w:ilvl w:val="0"/>
          <w:numId w:val="10"/>
        </w:numPr>
      </w:pPr>
      <w:r>
        <w:t>From a paid test account, activate three synthetic installations. Confirm a fourth returns ACTIVATION_LIMIT.</w:t>
      </w:r>
    </w:p>
    <w:p>
      <w:pPr>
        <w:keepLines/>
        <w:numPr>
          <w:ilvl w:val="0"/>
          <w:numId w:val="10"/>
        </w:numPr>
      </w:pPr>
      <w:r>
        <w:t>Open /account, list the devices, deactivate one, and verify a new installation can activate.</w:t>
      </w:r>
    </w:p>
    <w:p>
      <w:pPr>
        <w:keepLines/>
        <w:numPr>
          <w:ilvl w:val="0"/>
          <w:numId w:val="10"/>
        </w:numPr>
      </w:pPr>
      <w:r>
        <w:t>Verify offline grace, re-verification, invalid key, inactive license, lost-key resend, and local license removal. Confirm local financial data remains untouched.</w:t>
      </w:r>
    </w:p>
    <w:p>
      <w:pPr>
        <w:keepLines/>
        <w:numPr>
          <w:ilvl w:val="0"/>
          <w:numId w:val="10"/>
        </w:numPr>
      </w:pPr>
      <w:r>
        <w:t>Before any future secret rotation, design versioned key IDs, legacy verification, reissue, rollback, and customer communication.</w:t>
      </w:r>
    </w:p>
    <w:p>
      <w:pPr>
        <w:keepLines/>
        <w:numPr>
          <w:ilvl w:val="0"/>
          <w:numId w:val="10"/>
        </w:numPr>
      </w:pPr>
      <w:r>
        <w:t>Completed 30 July 2026: the owner license is kind owner_test, tier Max, linked to the owner’s Supabase account, absent from purchase/revenue records, stored only as a hash server-side, and activated on one macOS arm64 installation through the normal verification flow. Its full key is not reproduced in this document.</w:t>
      </w:r>
    </w:p>
    <w:p>
      <w:pPr>
        <w:keepLines/>
        <w:numPr>
          <w:ilvl w:val="0"/>
          <w:numId w:val="12"/>
        </w:numPr>
      </w:pPr>
      <w:r>
        <w:t>Vault and offline recovery copies are verified.</w:t>
      </w:r>
    </w:p>
    <w:p>
      <w:pPr>
        <w:keepLines/>
        <w:numPr>
          <w:ilvl w:val="0"/>
          <w:numId w:val="12"/>
        </w:numPr>
      </w:pPr>
      <w:r>
        <w:t>Three active installations succeed; the fourth is blocked.</w:t>
      </w:r>
    </w:p>
    <w:p>
      <w:pPr>
        <w:keepLines/>
        <w:numPr>
          <w:ilvl w:val="0"/>
          <w:numId w:val="12"/>
        </w:numPr>
      </w:pPr>
      <w:r>
        <w:t>Account-based deactivation and replacement succeed.</w:t>
      </w:r>
    </w:p>
    <w:p>
      <w:pPr>
        <w:keepLines/>
        <w:numPr>
          <w:ilvl w:val="0"/>
          <w:numId w:val="12"/>
        </w:numPr>
      </w:pPr>
      <w:r>
        <w:t>No serial, IP fingerprint, payment method, or financial ledger is stored by licensing.</w:t>
      </w:r>
    </w:p>
    <w:p>
      <w:pPr>
        <w:spacing w:after="80"/>
      </w:pPr>
      <w:r>
        <w:rPr>
          <w:b/>
        </w:rPr>
        <w:t xml:space="preserve">Vault record name (not the value): </w:t>
      </w:r>
      <w:r>
        <w:t>__________________________________________________________________________</w:t>
      </w:r>
    </w:p>
    <w:p>
      <w:pPr>
        <w:spacing w:after="80"/>
      </w:pPr>
      <w:r>
        <w:rPr>
          <w:b/>
        </w:rPr>
        <w:t xml:space="preserve">Authorized custodians: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6. macOS signing and notarization</w:t>
      </w:r>
    </w:p>
    <w:p>
      <w:pPr>
        <w:keepLines/>
        <w:numPr>
          <w:ilvl w:val="0"/>
          <w:numId w:val="10"/>
        </w:numPr>
      </w:pPr>
      <w:r>
        <w:t>Enroll the legal seller in the Apple Developer Program and complete identity verification.</w:t>
      </w:r>
    </w:p>
    <w:p>
      <w:pPr>
        <w:keepLines/>
        <w:numPr>
          <w:ilvl w:val="0"/>
          <w:numId w:val="10"/>
        </w:numPr>
      </w:pPr>
      <w:r>
        <w:t>Create a Developer ID Application certificate for distribution outside the Mac App Store.</w:t>
      </w:r>
    </w:p>
    <w:p>
      <w:pPr>
        <w:keepLines/>
        <w:numPr>
          <w:ilvl w:val="0"/>
          <w:numId w:val="10"/>
        </w:numPr>
      </w:pPr>
      <w:r>
        <w:t>Install the certificate and private key on a secured Mac, export a password-protected .p12, and store it only in the business vault.</w:t>
      </w:r>
    </w:p>
    <w:p>
      <w:pPr>
        <w:keepLines/>
        <w:numPr>
          <w:ilvl w:val="0"/>
          <w:numId w:val="10"/>
        </w:numPr>
      </w:pPr>
      <w:r>
        <w:t>Create an Apple app-specific password for notarization and record the Team ID.</w:t>
      </w:r>
    </w:p>
    <w:p>
      <w:pPr>
        <w:keepLines/>
        <w:numPr>
          <w:ilvl w:val="0"/>
          <w:numId w:val="10"/>
        </w:numPr>
      </w:pPr>
      <w:r>
        <w:t>Add GitHub Actions secrets MAC_CSC_LINK, MAC_CSC_KEY_PASSWORD, APPLE_ID, APPLE_APP_SPECIFIC_PASSWORD, and APPLE_TEAM_ID. Values must never appear in logs.</w:t>
      </w:r>
    </w:p>
    <w:p>
      <w:pPr>
        <w:keepLines/>
        <w:numPr>
          <w:ilvl w:val="0"/>
          <w:numId w:val="10"/>
        </w:numPr>
      </w:pPr>
      <w:r>
        <w:t>Run the private release workflow. Verify code signature, hardened runtime, entitlements, Electron fuses, notarization, stapling, DMG, and ZIP update artifact.</w:t>
      </w:r>
    </w:p>
    <w:p>
      <w:pPr>
        <w:keepLines/>
        <w:numPr>
          <w:ilvl w:val="0"/>
          <w:numId w:val="10"/>
        </w:numPr>
      </w:pPr>
      <w:r>
        <w:t>Install on clean macOS 13+ Apple silicon and Intel systems with Gatekeeper enabled. Do not instruct users to bypass Gatekeeper.</w:t>
      </w:r>
    </w:p>
    <w:p>
      <w:pPr>
        <w:keepLines/>
        <w:numPr>
          <w:ilvl w:val="0"/>
          <w:numId w:val="12"/>
        </w:numPr>
      </w:pPr>
      <w:r>
        <w:t>codesign --verify succeeds.</w:t>
      </w:r>
    </w:p>
    <w:p>
      <w:pPr>
        <w:keepLines/>
        <w:numPr>
          <w:ilvl w:val="0"/>
          <w:numId w:val="12"/>
        </w:numPr>
      </w:pPr>
      <w:r>
        <w:t>spctl assessment succeeds.</w:t>
      </w:r>
    </w:p>
    <w:p>
      <w:pPr>
        <w:keepLines/>
        <w:numPr>
          <w:ilvl w:val="0"/>
          <w:numId w:val="12"/>
        </w:numPr>
      </w:pPr>
      <w:r>
        <w:t>stapler validate succeeds.</w:t>
      </w:r>
    </w:p>
    <w:p>
      <w:pPr>
        <w:keepLines/>
        <w:numPr>
          <w:ilvl w:val="0"/>
          <w:numId w:val="12"/>
        </w:numPr>
      </w:pPr>
      <w:r>
        <w:t>Clean Apple silicon and Intel installs launch without override.</w:t>
      </w:r>
    </w:p>
    <w:p>
      <w:pPr>
        <w:spacing w:after="80"/>
      </w:pPr>
      <w:r>
        <w:rPr>
          <w:b/>
        </w:rPr>
        <w:t xml:space="preserve">Apple Team ID: </w:t>
      </w:r>
      <w:r>
        <w:t>__________________________________________________________________________</w:t>
      </w:r>
    </w:p>
    <w:p>
      <w:pPr>
        <w:spacing w:after="80"/>
      </w:pPr>
      <w:r>
        <w:rPr>
          <w:b/>
        </w:rPr>
        <w:t xml:space="preserve">Certificate expiry: </w:t>
      </w:r>
      <w:r>
        <w:t>__________________________________________________________________________</w:t>
      </w:r>
    </w:p>
    <w:p>
      <w:pPr>
        <w:spacing w:after="80"/>
      </w:pPr>
      <w:r>
        <w:rPr>
          <w:b/>
        </w:rPr>
        <w:t xml:space="preserve">Workflow run URL: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7. Windows signing</w:t>
      </w:r>
    </w:p>
    <w:p>
      <w:pPr>
        <w:keepLines/>
        <w:numPr>
          <w:ilvl w:val="0"/>
          <w:numId w:val="10"/>
        </w:numPr>
      </w:pPr>
      <w:r>
        <w:t>Purchase an Authenticode certificate in the legal seller’s name from a trusted provider. Prefer the provider’s supported hardware- or cloud-protected signing workflow.</w:t>
      </w:r>
    </w:p>
    <w:p>
      <w:pPr>
        <w:keepLines/>
        <w:numPr>
          <w:ilvl w:val="0"/>
          <w:numId w:val="10"/>
        </w:numPr>
      </w:pPr>
      <w:r>
        <w:t>Complete identity verification and document who controls signing access.</w:t>
      </w:r>
    </w:p>
    <w:p>
      <w:pPr>
        <w:keepLines/>
        <w:numPr>
          <w:ilvl w:val="0"/>
          <w:numId w:val="10"/>
        </w:numPr>
      </w:pPr>
      <w:r>
        <w:t>If the CI path supports an exportable PFX, store the protected file in the vault and add WIN_CSC_LINK and WIN_CSC_KEY_PASSWORD to GitHub Actions secrets.</w:t>
      </w:r>
    </w:p>
    <w:p>
      <w:pPr>
        <w:keepLines/>
        <w:numPr>
          <w:ilvl w:val="0"/>
          <w:numId w:val="10"/>
        </w:numPr>
      </w:pPr>
      <w:r>
        <w:t>Require a trusted timestamp so signatures remain valid after certificate expiry.</w:t>
      </w:r>
    </w:p>
    <w:p>
      <w:pPr>
        <w:keepLines/>
        <w:numPr>
          <w:ilvl w:val="0"/>
          <w:numId w:val="10"/>
        </w:numPr>
      </w:pPr>
      <w:r>
        <w:t>Build the private draft Windows installer. Verify publisher, chain, timestamp, NSIS behavior, and retained app data.</w:t>
      </w:r>
    </w:p>
    <w:p>
      <w:pPr>
        <w:keepLines/>
        <w:numPr>
          <w:ilvl w:val="0"/>
          <w:numId w:val="10"/>
        </w:numPr>
      </w:pPr>
      <w:r>
        <w:t>Install on clean Windows 10 22H2 and Windows 11 x64 systems with SmartScreen enabled. Record reputation warnings separately from signature validity.</w:t>
      </w:r>
    </w:p>
    <w:p>
      <w:pPr>
        <w:keepLines/>
        <w:numPr>
          <w:ilvl w:val="0"/>
          <w:numId w:val="12"/>
        </w:numPr>
      </w:pPr>
      <w:r>
        <w:t>Signature and timestamp verify.</w:t>
      </w:r>
    </w:p>
    <w:p>
      <w:pPr>
        <w:keepLines/>
        <w:numPr>
          <w:ilvl w:val="0"/>
          <w:numId w:val="12"/>
        </w:numPr>
      </w:pPr>
      <w:r>
        <w:t>Publisher matches the legal seller.</w:t>
      </w:r>
    </w:p>
    <w:p>
      <w:pPr>
        <w:keepLines/>
        <w:numPr>
          <w:ilvl w:val="0"/>
          <w:numId w:val="12"/>
        </w:numPr>
      </w:pPr>
      <w:r>
        <w:t>Windows 10 and 11 clean installs pass.</w:t>
      </w:r>
    </w:p>
    <w:p>
      <w:pPr>
        <w:keepLines/>
        <w:numPr>
          <w:ilvl w:val="0"/>
          <w:numId w:val="12"/>
        </w:numPr>
      </w:pPr>
      <w:r>
        <w:t>Upgrade and uninstall preserve SQLite data unless the user explicitly deletes it.</w:t>
      </w:r>
    </w:p>
    <w:p>
      <w:pPr>
        <w:spacing w:after="80"/>
      </w:pPr>
      <w:r>
        <w:rPr>
          <w:b/>
        </w:rPr>
        <w:t xml:space="preserve">Certificate provider: </w:t>
      </w:r>
      <w:r>
        <w:t>__________________________________________________________________________</w:t>
      </w:r>
    </w:p>
    <w:p>
      <w:pPr>
        <w:spacing w:after="80"/>
      </w:pPr>
      <w:r>
        <w:rPr>
          <w:b/>
        </w:rPr>
        <w:t xml:space="preserve">Certificate expiry: </w:t>
      </w:r>
      <w:r>
        <w:t>__________________________________________________________________________</w:t>
      </w:r>
    </w:p>
    <w:p>
      <w:pPr>
        <w:spacing w:after="80"/>
      </w:pPr>
      <w:r>
        <w:rPr>
          <w:b/>
        </w:rPr>
        <w:t xml:space="preserve">Workflow run URL: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8. Cloudflare R2 and signed updates</w:t>
      </w:r>
    </w:p>
    <w:p>
      <w:pPr>
        <w:keepLines/>
        <w:numPr>
          <w:ilvl w:val="0"/>
          <w:numId w:val="10"/>
        </w:numPr>
      </w:pPr>
      <w:r>
        <w:t>Create a business-owned Cloudflare account, enable two-factor authentication, and create an R2 bucket dedicated to release artifacts only.</w:t>
      </w:r>
    </w:p>
    <w:p>
      <w:pPr>
        <w:keepLines/>
        <w:numPr>
          <w:ilvl w:val="0"/>
          <w:numId w:val="10"/>
        </w:numPr>
      </w:pPr>
      <w:r>
        <w:t>Connect releases.godfin.dev to the bucket and verify HTTPS. Do not place customer data or desktop backups in this bucket.</w:t>
      </w:r>
    </w:p>
    <w:p>
      <w:pPr>
        <w:keepLines/>
        <w:numPr>
          <w:ilvl w:val="0"/>
          <w:numId w:val="10"/>
        </w:numPr>
      </w:pPr>
      <w:r>
        <w:t>Create a least-privilege R2 API token for release automation. Add GitHub secrets R2_ACCESS_KEY_ID, R2_SECRET_ACCESS_KEY, R2_ACCOUNT_ID, and R2_RELEASE_BUCKET.</w:t>
      </w:r>
    </w:p>
    <w:p>
      <w:pPr>
        <w:keepLines/>
        <w:numPr>
          <w:ilvl w:val="0"/>
          <w:numId w:val="10"/>
        </w:numPr>
      </w:pPr>
      <w:r>
        <w:t>Keep release binaries under immutable versioned paths such as /v0.1.0/&lt;artifact&gt;. Never overwrite a released binary.</w:t>
      </w:r>
    </w:p>
    <w:p>
      <w:pPr>
        <w:keepLines/>
        <w:numPr>
          <w:ilvl w:val="0"/>
          <w:numId w:val="10"/>
        </w:numPr>
      </w:pPr>
      <w:r>
        <w:t>Verify Content-Type, Content-Disposition, range requests, checksums, blockmaps, and architecture-specific latest metadata.</w:t>
      </w:r>
    </w:p>
    <w:p>
      <w:pPr>
        <w:keepLines/>
        <w:numPr>
          <w:ilvl w:val="0"/>
          <w:numId w:val="10"/>
        </w:numPr>
      </w:pPr>
      <w:r>
        <w:t>The promote-updates workflow requires the exact typed confirmation PUBLISH_SIGNED_RELEASE and the release-production environment. Do not run it before explicit public-launch authorization.</w:t>
      </w:r>
    </w:p>
    <w:p>
      <w:pPr>
        <w:keepLines/>
        <w:numPr>
          <w:ilvl w:val="0"/>
          <w:numId w:val="10"/>
        </w:numPr>
      </w:pPr>
      <w:r>
        <w:t>Test rollback with a previously reviewed signed release using the separate rollback workflow and its exact confirmation.</w:t>
      </w:r>
    </w:p>
    <w:p>
      <w:pPr>
        <w:keepLines/>
        <w:numPr>
          <w:ilvl w:val="0"/>
          <w:numId w:val="12"/>
        </w:numPr>
      </w:pPr>
      <w:r>
        <w:t>Anonymous read works; list/write does not.</w:t>
      </w:r>
    </w:p>
    <w:p>
      <w:pPr>
        <w:keepLines/>
        <w:numPr>
          <w:ilvl w:val="0"/>
          <w:numId w:val="12"/>
        </w:numPr>
      </w:pPr>
      <w:r>
        <w:t>Versioned assets are immutable.</w:t>
      </w:r>
    </w:p>
    <w:p>
      <w:pPr>
        <w:keepLines/>
        <w:numPr>
          <w:ilvl w:val="0"/>
          <w:numId w:val="12"/>
        </w:numPr>
      </w:pPr>
      <w:r>
        <w:t>SHA-256 checksums match a fresh download.</w:t>
      </w:r>
    </w:p>
    <w:p>
      <w:pPr>
        <w:keepLines/>
        <w:numPr>
          <w:ilvl w:val="0"/>
          <w:numId w:val="12"/>
        </w:numPr>
      </w:pPr>
      <w:r>
        <w:t>Updater detects the correct OS/architecture artifact.</w:t>
      </w:r>
    </w:p>
    <w:p>
      <w:pPr>
        <w:keepLines/>
        <w:numPr>
          <w:ilvl w:val="0"/>
          <w:numId w:val="12"/>
        </w:numPr>
      </w:pPr>
      <w:r>
        <w:t>Rollback metadata restores the reviewed previous version.</w:t>
      </w:r>
    </w:p>
    <w:p>
      <w:pPr>
        <w:spacing w:after="80"/>
      </w:pPr>
      <w:r>
        <w:rPr>
          <w:b/>
        </w:rPr>
        <w:t xml:space="preserve">R2 account ID (not secret): </w:t>
      </w:r>
      <w:r>
        <w:t>__________________________________________________________________________</w:t>
      </w:r>
    </w:p>
    <w:p>
      <w:pPr>
        <w:spacing w:after="80"/>
      </w:pPr>
      <w:r>
        <w:rPr>
          <w:b/>
        </w:rPr>
        <w:t xml:space="preserve">Bucket: </w:t>
      </w:r>
      <w:r>
        <w:t>__________________________________________________________________________</w:t>
      </w:r>
    </w:p>
    <w:p>
      <w:pPr>
        <w:spacing w:after="80"/>
      </w:pPr>
      <w:r>
        <w:rPr>
          <w:b/>
        </w:rPr>
        <w:t xml:space="preserve">Update domain: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9. Market-data access for Max net worth</w:t>
      </w:r>
    </w:p>
    <w:p>
      <w:pPr>
        <w:spacing w:before="100" w:after="160" w:line="288" w:lineRule="auto"/>
        <w:ind w:left="115" w:right="115"/>
        <w:shd w:fill="EAF7EF"/>
        <w:pBdr>
          <w:left w:val="single" w:sz="18" w:space="8" w:color="17663A"/>
        </w:pBdr>
      </w:pPr>
      <w:r>
        <w:rPr>
          <w:rFonts w:ascii="Calibri" w:hAnsi="Calibri"/>
          <w:b/>
          <w:color w:val="17663A"/>
          <w:sz w:val="21"/>
        </w:rPr>
        <w:t xml:space="preserve">KEY CUSTODY  </w:t>
      </w:r>
      <w:r>
        <w:rPr>
          <w:rFonts w:ascii="Calibri" w:hAnsi="Calibri"/>
          <w:color w:val="172033"/>
          <w:sz w:val="21"/>
        </w:rPr>
        <w:t>GODFIN does not need a shared Twelve Data key. Each user supplies a key that is encrypted locally and sent only to Twelve Data when that user requests a quote.</w:t>
      </w:r>
    </w:p>
    <w:p>
      <w:pPr>
        <w:keepLines/>
        <w:numPr>
          <w:ilvl w:val="0"/>
          <w:numId w:val="10"/>
        </w:numPr>
      </w:pPr>
      <w:r>
        <w:t>Review Twelve Data’s current plans, market coverage, attribution, caching, redistribution, and rate-limit terms with counsel or a responsible product owner.</w:t>
      </w:r>
    </w:p>
    <w:p>
      <w:pPr>
        <w:keepLines/>
        <w:numPr>
          <w:ilvl w:val="0"/>
          <w:numId w:val="10"/>
        </w:numPr>
      </w:pPr>
      <w:r>
        <w:t>Define the supported liquid instruments and symbol format in support documentation. Do not promise universal coverage or uninterrupted quotes.</w:t>
      </w:r>
    </w:p>
    <w:p>
      <w:pPr>
        <w:keepLines/>
        <w:numPr>
          <w:ilvl w:val="0"/>
          <w:numId w:val="10"/>
        </w:numPr>
      </w:pPr>
      <w:r>
        <w:t>Test stock, ETF, mutual-fund, crypto, bond, metal, and currency-conversion requests with a personal test key. Never place that key in Vercel, GitHub, screenshots, or fixtures.</w:t>
      </w:r>
    </w:p>
    <w:p>
      <w:pPr>
        <w:keepLines/>
        <w:numPr>
          <w:ilvl w:val="0"/>
          <w:numId w:val="10"/>
        </w:numPr>
      </w:pPr>
      <w:r>
        <w:t>Verify missing, expired, rate-limited, invalid, and unavailable quotes show a recoverable error and never break manual assets or authoritative totals.</w:t>
      </w:r>
    </w:p>
    <w:p>
      <w:pPr>
        <w:keepLines/>
        <w:numPr>
          <w:ilvl w:val="0"/>
          <w:numId w:val="10"/>
        </w:numPr>
      </w:pPr>
      <w:r>
        <w:t>Confirm land, property, gems, private assets, and unsupported instruments always require user-entered source, valuation date, and review/expiry date.</w:t>
      </w:r>
    </w:p>
    <w:p>
      <w:pPr>
        <w:keepLines/>
        <w:numPr>
          <w:ilvl w:val="0"/>
          <w:numId w:val="12"/>
        </w:numPr>
      </w:pPr>
      <w:r>
        <w:t>Terms and support scope reviewed.</w:t>
      </w:r>
    </w:p>
    <w:p>
      <w:pPr>
        <w:keepLines/>
        <w:numPr>
          <w:ilvl w:val="0"/>
          <w:numId w:val="12"/>
        </w:numPr>
      </w:pPr>
      <w:r>
        <w:t>A test key works and remains encrypted locally.</w:t>
      </w:r>
    </w:p>
    <w:p>
      <w:pPr>
        <w:keepLines/>
        <w:numPr>
          <w:ilvl w:val="0"/>
          <w:numId w:val="12"/>
        </w:numPr>
      </w:pPr>
      <w:r>
        <w:t>Quote failure leaves manual calculations usable.</w:t>
      </w:r>
    </w:p>
    <w:p>
      <w:pPr>
        <w:keepLines/>
        <w:numPr>
          <w:ilvl w:val="0"/>
          <w:numId w:val="12"/>
        </w:numPr>
      </w:pPr>
      <w:r>
        <w:t>Freshness, provenance, currency, and expiry are visible.</w:t>
      </w:r>
    </w:p>
    <w:p>
      <w:pPr>
        <w:pStyle w:val="RunbookCaption"/>
      </w:pPr>
      <w:r>
        <w:t xml:space="preserve">Official reference: </w:t>
      </w:r>
      <w:hyperlink r:id="rId15">
        <w:r>
          <w:rPr>
            <w:color w:val="2E74B5"/>
            <w:u w:val="single"/>
          </w:rPr>
          <w:t>Twelve Data API documentation</w:t>
        </w:r>
      </w:hyperlink>
    </w:p>
    <w:p>
      <w:pPr>
        <w:spacing w:after="80"/>
      </w:pPr>
      <w:r>
        <w:rPr>
          <w:b/>
        </w:rPr>
        <w:t xml:space="preserve">Reviewer: </w:t>
      </w:r>
      <w:r>
        <w:t>__________________________________________________________________________</w:t>
      </w:r>
    </w:p>
    <w:p>
      <w:pPr>
        <w:spacing w:after="80"/>
      </w:pPr>
      <w:r>
        <w:rPr>
          <w:b/>
        </w:rPr>
        <w:t xml:space="preserve">Supported-market decision date: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10. Reward-pilot privacy, payouts, and controls</w:t>
      </w:r>
    </w:p>
    <w:p>
      <w:pPr>
        <w:spacing w:before="100" w:after="160" w:line="288" w:lineRule="auto"/>
        <w:ind w:left="115" w:right="115"/>
        <w:shd w:fill="FFF4D8"/>
        <w:pBdr>
          <w:left w:val="single" w:sz="18" w:space="8" w:color="7A5A00"/>
        </w:pBdr>
      </w:pPr>
      <w:r>
        <w:rPr>
          <w:rFonts w:ascii="Calibri" w:hAnsi="Calibri"/>
          <w:b/>
          <w:color w:val="7A5A00"/>
          <w:sz w:val="21"/>
        </w:rPr>
        <w:t xml:space="preserve">SAFE DEFAULT  </w:t>
      </w:r>
      <w:r>
        <w:rPr>
          <w:rFonts w:ascii="Calibri" w:hAnsi="Calibri"/>
          <w:color w:val="172033"/>
          <w:sz w:val="21"/>
        </w:rPr>
        <w:t>Keep reward_pilot disabled for launch unless every step below is complete. The ₹50,000 pilot is separate consent, off by default, and is not required for GODFIN’s core product.</w:t>
      </w:r>
    </w:p>
    <w:p>
      <w:pPr>
        <w:keepLines/>
        <w:numPr>
          <w:ilvl w:val="0"/>
          <w:numId w:val="10"/>
        </w:numPr>
      </w:pPr>
      <w:r>
        <w:t>Obtain written privacy and legal review of consent, participant eligibility, withdrawal, retention, cross-border processing if any, payout tax treatment, and incident response.</w:t>
      </w:r>
    </w:p>
    <w:p>
      <w:pPr>
        <w:keepLines/>
        <w:numPr>
          <w:ilvl w:val="0"/>
          <w:numId w:val="10"/>
        </w:numPr>
      </w:pPr>
      <w:r>
        <w:t>Approve the fixed economics: ₹100 for the first accepted 90-day aggregate bundle; ₹25 per net-new verified template family up to six; ₹10 per material variant up to five; maximum ₹300 per participant and ₹50,000 overall.</w:t>
      </w:r>
    </w:p>
    <w:p>
      <w:pPr>
        <w:keepLines/>
        <w:numPr>
          <w:ilvl w:val="0"/>
          <w:numId w:val="10"/>
        </w:numPr>
      </w:pPr>
      <w:r>
        <w:t>Fund a dedicated pilot payout budget and define who approves submissions, disputes, duplicate detection, and payouts.</w:t>
      </w:r>
    </w:p>
    <w:p>
      <w:pPr>
        <w:keepLines/>
        <w:numPr>
          <w:ilvl w:val="0"/>
          <w:numId w:val="10"/>
        </w:numPr>
      </w:pPr>
      <w:r>
        <w:t>Deploy a dedicated HTTPS ingestion endpoint. Configure GODFIN_REWARD_PILOT_URL only in a controlled candidate build. Never accept HTTP.</w:t>
      </w:r>
    </w:p>
    <w:p>
      <w:pPr>
        <w:keepLines/>
        <w:numPr>
          <w:ilvl w:val="0"/>
          <w:numId w:val="10"/>
        </w:numPr>
      </w:pPr>
      <w:r>
        <w:t>Keep payout identity in a separate access-controlled system from pseudonymized contributions. Define the linking token, access log, retention, and deletion process.</w:t>
      </w:r>
    </w:p>
    <w:p>
      <w:pPr>
        <w:keepLines/>
        <w:numPr>
          <w:ilvl w:val="0"/>
          <w:numId w:val="10"/>
        </w:numPr>
      </w:pPr>
      <w:r>
        <w:t>Use the local preview/redaction screen before submission. Reject names, account/card numbers, UPI/VPA, emails, phones, addresses, exact dates, exact amounts, balances, transaction descriptions, and raw statements.</w:t>
      </w:r>
    </w:p>
    <w:p>
      <w:pPr>
        <w:keepLines/>
        <w:numPr>
          <w:ilvl w:val="0"/>
          <w:numId w:val="10"/>
        </w:numPr>
      </w:pPr>
      <w:r>
        <w:t>Red-team the endpoint with synthetic identifiers and malformed payloads. Confirm the server rejects forbidden fields and the pilot cap cannot be exceeded under concurrency/retry.</w:t>
      </w:r>
    </w:p>
    <w:p>
      <w:pPr>
        <w:keepLines/>
        <w:numPr>
          <w:ilvl w:val="0"/>
          <w:numId w:val="10"/>
        </w:numPr>
      </w:pPr>
      <w:r>
        <w:t>Run a small internal dry run, reconcile accepted bundles to payouts, delete test identities, and obtain written approval before enabling the feature flag.</w:t>
      </w:r>
    </w:p>
    <w:p>
      <w:r>
        <w:br w:type="page"/>
      </w:r>
    </w:p>
    <w:p>
      <w:pPr>
        <w:keepLines/>
        <w:numPr>
          <w:ilvl w:val="0"/>
          <w:numId w:val="12"/>
        </w:numPr>
      </w:pPr>
      <w:r>
        <w:t>Legal/privacy review signed.</w:t>
      </w:r>
    </w:p>
    <w:p>
      <w:pPr>
        <w:keepLines/>
        <w:numPr>
          <w:ilvl w:val="0"/>
          <w:numId w:val="12"/>
        </w:numPr>
      </w:pPr>
      <w:r>
        <w:t>₹50,000 cap and ₹300 participant cap are enforced server-side.</w:t>
      </w:r>
    </w:p>
    <w:p>
      <w:pPr>
        <w:keepLines/>
        <w:numPr>
          <w:ilvl w:val="0"/>
          <w:numId w:val="12"/>
        </w:numPr>
      </w:pPr>
      <w:r>
        <w:t>Payout identity is separate from contribution data.</w:t>
      </w:r>
    </w:p>
    <w:p>
      <w:pPr>
        <w:keepLines/>
        <w:numPr>
          <w:ilvl w:val="0"/>
          <w:numId w:val="12"/>
        </w:numPr>
      </w:pPr>
      <w:r>
        <w:t>Redaction rejection tests pass.</w:t>
      </w:r>
    </w:p>
    <w:p>
      <w:pPr>
        <w:keepLines/>
        <w:numPr>
          <w:ilvl w:val="0"/>
          <w:numId w:val="12"/>
        </w:numPr>
      </w:pPr>
      <w:r>
        <w:t>Consent version, preview, withdrawal, retention, and audit evidence pass.</w:t>
      </w:r>
    </w:p>
    <w:p>
      <w:pPr>
        <w:keepLines/>
        <w:numPr>
          <w:ilvl w:val="0"/>
          <w:numId w:val="12"/>
        </w:numPr>
      </w:pPr>
      <w:r>
        <w:t>Feature remains off until written enablement approval.</w:t>
      </w:r>
    </w:p>
    <w:p>
      <w:pPr>
        <w:spacing w:after="80"/>
      </w:pPr>
      <w:r>
        <w:rPr>
          <w:b/>
        </w:rPr>
        <w:t xml:space="preserve">Pilot legal reviewer: </w:t>
      </w:r>
      <w:r>
        <w:t>__________________________________________________________________________</w:t>
      </w:r>
    </w:p>
    <w:p>
      <w:pPr>
        <w:spacing w:after="80"/>
      </w:pPr>
      <w:r>
        <w:rPr>
          <w:b/>
        </w:rPr>
        <w:t xml:space="preserve">Payout owner: </w:t>
      </w:r>
      <w:r>
        <w:t>__________________________________________________________________________</w:t>
      </w:r>
    </w:p>
    <w:p>
      <w:pPr>
        <w:spacing w:after="80"/>
      </w:pPr>
      <w:r>
        <w:rPr>
          <w:b/>
        </w:rPr>
        <w:t xml:space="preserve">Endpoint public hostname: </w:t>
      </w:r>
      <w:r>
        <w:t>__________________________________________________________________________</w:t>
      </w:r>
    </w:p>
    <w:p>
      <w:pPr>
        <w:spacing w:after="80"/>
      </w:pPr>
      <w:r>
        <w:rPr>
          <w:b/>
        </w:rPr>
        <w:t xml:space="preserve">Approval date: </w:t>
      </w:r>
      <w:r>
        <w:t>__________________________________________________________________________</w:t>
      </w:r>
    </w:p>
    <w:p>
      <w:pPr>
        <w:pStyle w:val="Heading1"/>
      </w:pPr>
      <w:r>
        <w:t>11. OpenDataLoader benchmark decision</w:t>
      </w:r>
    </w:p>
    <w:p>
      <w:pPr>
        <w:keepLines/>
        <w:numPr>
          <w:ilvl w:val="0"/>
          <w:numId w:val="10"/>
        </w:numPr>
      </w:pPr>
      <w:r>
        <w:t>Leave opendataloader_benchmark disabled in customer builds.</w:t>
      </w:r>
    </w:p>
    <w:p>
      <w:pPr>
        <w:keepLines/>
        <w:numPr>
          <w:ilvl w:val="0"/>
          <w:numId w:val="10"/>
        </w:numPr>
      </w:pPr>
      <w:r>
        <w:t>Lawfully assemble 200–500 privacy-safe, redacted statement fixtures covering supported formats and known failure modes. Do not use customer files without specific permission.</w:t>
      </w:r>
    </w:p>
    <w:p>
      <w:pPr>
        <w:keepLines/>
        <w:numPr>
          <w:ilvl w:val="0"/>
          <w:numId w:val="10"/>
        </w:numPr>
      </w:pPr>
      <w:r>
        <w:t>Manually label required fields and reconciliation totals. Record source format, parser outcome, manual corrections, runtime, and memory without storing financial identifiers.</w:t>
      </w:r>
    </w:p>
    <w:p>
      <w:pPr>
        <w:keepLines/>
        <w:numPr>
          <w:ilvl w:val="0"/>
          <w:numId w:val="10"/>
        </w:numPr>
      </w:pPr>
      <w:r>
        <w:t>Provide Java 11+ only in the isolated benchmark environment; do not silently add a Java dependency to customer packaging.</w:t>
      </w:r>
    </w:p>
    <w:p>
      <w:pPr>
        <w:keepLines/>
        <w:numPr>
          <w:ilvl w:val="0"/>
          <w:numId w:val="10"/>
        </w:numPr>
      </w:pPr>
      <w:r>
        <w:t>Run the current extractor and OpenDataLoader adapter on the same corpus. The decisive metric is complete reconciliation without manual correction, followed by field accuracy, runtime, memory, packaging size, and failure clarity.</w:t>
      </w:r>
    </w:p>
    <w:p>
      <w:pPr>
        <w:keepLines/>
        <w:numPr>
          <w:ilvl w:val="0"/>
          <w:numId w:val="10"/>
        </w:numPr>
      </w:pPr>
      <w:r>
        <w:t>Ship only if the measured accuracy gain justifies Java packaging and all supported OS installers pass. Otherwise document the decision and retain the current extractor.</w:t>
      </w:r>
    </w:p>
    <w:p>
      <w:pPr>
        <w:keepLines/>
        <w:numPr>
          <w:ilvl w:val="0"/>
          <w:numId w:val="12"/>
        </w:numPr>
      </w:pPr>
      <w:r>
        <w:t>Corpus is lawfully sourced and fully redacted.</w:t>
      </w:r>
    </w:p>
    <w:p>
      <w:pPr>
        <w:keepLines/>
        <w:numPr>
          <w:ilvl w:val="0"/>
          <w:numId w:val="12"/>
        </w:numPr>
      </w:pPr>
      <w:r>
        <w:t>Labels and reconciliation totals are independently reviewed.</w:t>
      </w:r>
    </w:p>
    <w:p>
      <w:pPr>
        <w:keepLines/>
        <w:numPr>
          <w:ilvl w:val="0"/>
          <w:numId w:val="12"/>
        </w:numPr>
      </w:pPr>
      <w:r>
        <w:t>Both extractors run on identical fixtures.</w:t>
      </w:r>
    </w:p>
    <w:p>
      <w:pPr>
        <w:keepLines/>
        <w:numPr>
          <w:ilvl w:val="0"/>
          <w:numId w:val="12"/>
        </w:numPr>
      </w:pPr>
      <w:r>
        <w:t>Ship/no-ship decision and evidence are archived.</w:t>
      </w:r>
    </w:p>
    <w:p>
      <w:pPr>
        <w:spacing w:after="80"/>
      </w:pPr>
      <w:r>
        <w:rPr>
          <w:b/>
        </w:rPr>
        <w:t xml:space="preserve">Corpus owner: </w:t>
      </w:r>
      <w:r>
        <w:t>__________________________________________________________________________</w:t>
      </w:r>
    </w:p>
    <w:p>
      <w:pPr>
        <w:spacing w:after="80"/>
      </w:pPr>
      <w:r>
        <w:rPr>
          <w:b/>
        </w:rPr>
        <w:t xml:space="preserve">Fixture count: </w:t>
      </w:r>
      <w:r>
        <w:t>__________________________________________________________________________</w:t>
      </w:r>
    </w:p>
    <w:p>
      <w:pPr>
        <w:spacing w:after="80"/>
      </w:pPr>
      <w:r>
        <w:rPr>
          <w:b/>
        </w:rPr>
        <w:t xml:space="preserve">Decision: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12. Clean-system packaging and recovery matrix</w:t>
      </w:r>
    </w:p>
    <w:tbl>
      <w:tblPr>
        <w:tblStyle w:val="TableGrid"/>
        <w:tblW w:type="dxa" w:w="9360"/>
        <w:tblLayout w:type="fixed"/>
        <w:tblLook w:firstColumn="1" w:firstRow="1" w:lastColumn="0" w:lastRow="0" w:noHBand="0" w:noVBand="1" w:val="04A0"/>
        <w:tblInd w:w="120" w:type="dxa"/>
      </w:tblPr>
      <w:tblGrid>
        <w:gridCol w:w="1800"/>
        <w:gridCol w:w="750"/>
        <w:gridCol w:w="950"/>
        <w:gridCol w:w="850"/>
        <w:gridCol w:w="1300"/>
        <w:gridCol w:w="1000"/>
        <w:gridCol w:w="2710"/>
      </w:tblGrid>
      <w:tr>
        <w:trPr>
          <w:tblHeader w:val="true"/>
        </w:trPr>
        <w:tc>
          <w:tcPr>
            <w:tcW w:type="dxa" w:w="1800"/>
            <w:shd w:fill="E8EEF5"/>
            <w:tcMar>
              <w:top w:w="80" w:type="dxa"/>
              <w:start w:w="120" w:type="dxa"/>
              <w:bottom w:w="80" w:type="dxa"/>
              <w:end w:w="120" w:type="dxa"/>
            </w:tcMar>
            <w:vAlign w:val="center"/>
          </w:tcPr>
          <w:p>
            <w:pPr>
              <w:spacing w:after="0"/>
            </w:pPr>
            <w:r>
              <w:rPr>
                <w:rFonts w:ascii="Calibri" w:hAnsi="Calibri"/>
                <w:b/>
                <w:color w:val="163A5F"/>
                <w:sz w:val="19"/>
              </w:rPr>
              <w:t>Platform</w:t>
            </w:r>
          </w:p>
        </w:tc>
        <w:tc>
          <w:tcPr>
            <w:tcW w:type="dxa" w:w="750"/>
            <w:shd w:fill="E8EEF5"/>
            <w:tcMar>
              <w:top w:w="80" w:type="dxa"/>
              <w:start w:w="120" w:type="dxa"/>
              <w:bottom w:w="80" w:type="dxa"/>
              <w:end w:w="120" w:type="dxa"/>
            </w:tcMar>
            <w:vAlign w:val="center"/>
          </w:tcPr>
          <w:p>
            <w:pPr>
              <w:spacing w:after="0"/>
            </w:pPr>
            <w:r>
              <w:rPr>
                <w:rFonts w:ascii="Calibri" w:hAnsi="Calibri"/>
                <w:b/>
                <w:color w:val="163A5F"/>
                <w:sz w:val="19"/>
              </w:rPr>
              <w:t>Install</w:t>
            </w:r>
          </w:p>
        </w:tc>
        <w:tc>
          <w:tcPr>
            <w:tcW w:type="dxa" w:w="950"/>
            <w:shd w:fill="E8EEF5"/>
            <w:tcMar>
              <w:top w:w="80" w:type="dxa"/>
              <w:start w:w="120" w:type="dxa"/>
              <w:bottom w:w="80" w:type="dxa"/>
              <w:end w:w="120" w:type="dxa"/>
            </w:tcMar>
            <w:vAlign w:val="center"/>
          </w:tcPr>
          <w:p>
            <w:pPr>
              <w:spacing w:after="0"/>
            </w:pPr>
            <w:r>
              <w:rPr>
                <w:rFonts w:ascii="Calibri" w:hAnsi="Calibri"/>
                <w:b/>
                <w:color w:val="163A5F"/>
                <w:sz w:val="19"/>
              </w:rPr>
              <w:t>Upgrade</w:t>
            </w:r>
          </w:p>
        </w:tc>
        <w:tc>
          <w:tcPr>
            <w:tcW w:type="dxa" w:w="850"/>
            <w:shd w:fill="E8EEF5"/>
            <w:tcMar>
              <w:top w:w="80" w:type="dxa"/>
              <w:start w:w="120" w:type="dxa"/>
              <w:bottom w:w="80" w:type="dxa"/>
              <w:end w:w="120" w:type="dxa"/>
            </w:tcMar>
            <w:vAlign w:val="center"/>
          </w:tcPr>
          <w:p>
            <w:pPr>
              <w:spacing w:after="0"/>
            </w:pPr>
            <w:r>
              <w:rPr>
                <w:rFonts w:ascii="Calibri" w:hAnsi="Calibri"/>
                <w:b/>
                <w:color w:val="163A5F"/>
                <w:sz w:val="19"/>
              </w:rPr>
              <w:t>Offline</w:t>
            </w:r>
          </w:p>
        </w:tc>
        <w:tc>
          <w:tcPr>
            <w:tcW w:type="dxa" w:w="1300"/>
            <w:shd w:fill="E8EEF5"/>
            <w:tcMar>
              <w:top w:w="80" w:type="dxa"/>
              <w:start w:w="120" w:type="dxa"/>
              <w:bottom w:w="80" w:type="dxa"/>
              <w:end w:w="120" w:type="dxa"/>
            </w:tcMar>
            <w:vAlign w:val="center"/>
          </w:tcPr>
          <w:p>
            <w:pPr>
              <w:spacing w:after="0"/>
            </w:pPr>
            <w:r>
              <w:rPr>
                <w:rFonts w:ascii="Calibri" w:hAnsi="Calibri"/>
                <w:b/>
                <w:color w:val="163A5F"/>
                <w:sz w:val="19"/>
              </w:rPr>
              <w:t>Data/key preserved</w:t>
            </w:r>
          </w:p>
        </w:tc>
        <w:tc>
          <w:tcPr>
            <w:tcW w:type="dxa" w:w="1000"/>
            <w:shd w:fill="E8EEF5"/>
            <w:tcMar>
              <w:top w:w="80" w:type="dxa"/>
              <w:start w:w="120" w:type="dxa"/>
              <w:bottom w:w="80" w:type="dxa"/>
              <w:end w:w="120" w:type="dxa"/>
            </w:tcMar>
            <w:vAlign w:val="center"/>
          </w:tcPr>
          <w:p>
            <w:pPr>
              <w:spacing w:after="0"/>
            </w:pPr>
            <w:r>
              <w:rPr>
                <w:rFonts w:ascii="Calibri" w:hAnsi="Calibri"/>
                <w:b/>
                <w:color w:val="163A5F"/>
                <w:sz w:val="19"/>
              </w:rPr>
              <w:t>Uninstall</w:t>
            </w:r>
          </w:p>
        </w:tc>
        <w:tc>
          <w:tcPr>
            <w:tcW w:type="dxa" w:w="2710"/>
            <w:shd w:fill="E8EEF5"/>
            <w:tcMar>
              <w:top w:w="80" w:type="dxa"/>
              <w:start w:w="120" w:type="dxa"/>
              <w:bottom w:w="80" w:type="dxa"/>
              <w:end w:w="120" w:type="dxa"/>
            </w:tcMar>
            <w:vAlign w:val="center"/>
          </w:tcPr>
          <w:p>
            <w:pPr>
              <w:spacing w:after="0"/>
            </w:pPr>
            <w:r>
              <w:rPr>
                <w:rFonts w:ascii="Calibri" w:hAnsi="Calibri"/>
                <w:b/>
                <w:color w:val="163A5F"/>
                <w:sz w:val="19"/>
              </w:rPr>
              <w:t>Evidence</w:t>
            </w:r>
          </w:p>
        </w:tc>
      </w:tr>
      <w:tr>
        <w:tc>
          <w:tcPr>
            <w:tcW w:type="dxa" w:w="1800"/>
            <w:tcMar>
              <w:top w:w="80" w:type="dxa"/>
              <w:start w:w="120" w:type="dxa"/>
              <w:bottom w:w="80" w:type="dxa"/>
              <w:end w:w="120" w:type="dxa"/>
            </w:tcMar>
            <w:vAlign w:val="center"/>
          </w:tcPr>
          <w:p>
            <w:pPr>
              <w:spacing w:after="0"/>
            </w:pPr>
            <w:r>
              <w:rPr>
                <w:rFonts w:ascii="Calibri" w:hAnsi="Calibri"/>
                <w:color w:val="172033"/>
                <w:sz w:val="18"/>
              </w:rPr>
              <w:t>macOS 13+ arm64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c>
          <w:tcPr>
            <w:tcW w:type="dxa" w:w="1800"/>
            <w:tcMar>
              <w:top w:w="80" w:type="dxa"/>
              <w:start w:w="120" w:type="dxa"/>
              <w:bottom w:w="80" w:type="dxa"/>
              <w:end w:w="120" w:type="dxa"/>
            </w:tcMar>
            <w:vAlign w:val="center"/>
          </w:tcPr>
          <w:p>
            <w:pPr>
              <w:spacing w:after="0"/>
            </w:pPr>
            <w:r>
              <w:rPr>
                <w:rFonts w:ascii="Calibri" w:hAnsi="Calibri"/>
                <w:color w:val="172033"/>
                <w:sz w:val="18"/>
              </w:rPr>
              <w:t>macOS 13+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c>
          <w:tcPr>
            <w:tcW w:type="dxa" w:w="1800"/>
            <w:tcMar>
              <w:top w:w="80" w:type="dxa"/>
              <w:start w:w="120" w:type="dxa"/>
              <w:bottom w:w="80" w:type="dxa"/>
              <w:end w:w="120" w:type="dxa"/>
            </w:tcMar>
            <w:vAlign w:val="center"/>
          </w:tcPr>
          <w:p>
            <w:pPr>
              <w:spacing w:after="0"/>
            </w:pPr>
            <w:r>
              <w:rPr>
                <w:rFonts w:ascii="Calibri" w:hAnsi="Calibri"/>
                <w:color w:val="172033"/>
                <w:sz w:val="18"/>
              </w:rPr>
              <w:t>Windows 10 22H2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c>
          <w:tcPr>
            <w:tcW w:type="dxa" w:w="1800"/>
            <w:tcMar>
              <w:top w:w="80" w:type="dxa"/>
              <w:start w:w="120" w:type="dxa"/>
              <w:bottom w:w="80" w:type="dxa"/>
              <w:end w:w="120" w:type="dxa"/>
            </w:tcMar>
            <w:vAlign w:val="center"/>
          </w:tcPr>
          <w:p>
            <w:pPr>
              <w:spacing w:after="0"/>
            </w:pPr>
            <w:r>
              <w:rPr>
                <w:rFonts w:ascii="Calibri" w:hAnsi="Calibri"/>
                <w:color w:val="172033"/>
                <w:sz w:val="18"/>
              </w:rPr>
              <w:t>Windows 11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c>
          <w:tcPr>
            <w:tcW w:type="dxa" w:w="1800"/>
            <w:tcMar>
              <w:top w:w="80" w:type="dxa"/>
              <w:start w:w="120" w:type="dxa"/>
              <w:bottom w:w="80" w:type="dxa"/>
              <w:end w:w="120" w:type="dxa"/>
            </w:tcMar>
            <w:vAlign w:val="center"/>
          </w:tcPr>
          <w:p>
            <w:pPr>
              <w:spacing w:after="0"/>
            </w:pPr>
            <w:r>
              <w:rPr>
                <w:rFonts w:ascii="Calibri" w:hAnsi="Calibri"/>
                <w:color w:val="172033"/>
                <w:sz w:val="18"/>
              </w:rPr>
              <w:t>Ubuntu 22.04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bl>
    <w:p>
      <w:pPr>
        <w:spacing w:after="20"/>
      </w:pPr>
    </w:p>
    <w:p>
      <w:pPr>
        <w:keepLines/>
        <w:numPr>
          <w:ilvl w:val="0"/>
          <w:numId w:val="10"/>
        </w:numPr>
      </w:pPr>
      <w:r>
        <w:t>Snapshot the clean system, install the signed candidate, set a synthetic PIN, import a redacted fixture, classify one item, create a backup, and record database path and app version.</w:t>
      </w:r>
    </w:p>
    <w:p>
      <w:pPr>
        <w:keepLines/>
        <w:numPr>
          <w:ilvl w:val="0"/>
          <w:numId w:val="10"/>
        </w:numPr>
      </w:pPr>
      <w:r>
        <w:t>Restart online and offline. Confirm localhost binding, no cloud ledger, correct session behavior, encrypted secrets, and deterministic operation without AI.</w:t>
      </w:r>
    </w:p>
    <w:p>
      <w:pPr>
        <w:keepLines/>
        <w:numPr>
          <w:ilvl w:val="0"/>
          <w:numId w:val="10"/>
        </w:numPr>
      </w:pPr>
      <w:r>
        <w:t>If Ollama is absent, confirm GODFIN opens the official installer and never silently installs. Test no-AI mode. On capable hardware, test the recommended signed-registry model path.</w:t>
      </w:r>
    </w:p>
    <w:p>
      <w:pPr>
        <w:keepLines/>
        <w:numPr>
          <w:ilvl w:val="0"/>
          <w:numId w:val="10"/>
        </w:numPr>
      </w:pPr>
      <w:r>
        <w:t>Upgrade from the previous candidate. Confirm SQLite, encryption key, installation ID, license, settings, merchant memory, backup history, and reports remain valid.</w:t>
      </w:r>
    </w:p>
    <w:p>
      <w:pPr>
        <w:keepLines/>
        <w:numPr>
          <w:ilvl w:val="0"/>
          <w:numId w:val="10"/>
        </w:numPr>
      </w:pPr>
      <w:r>
        <w:t>Exercise rollback and restore on a copy. Confirm pre-migration backup and restart-safe additive migrations.</w:t>
      </w:r>
    </w:p>
    <w:p>
      <w:pPr>
        <w:keepLines/>
        <w:numPr>
          <w:ilvl w:val="0"/>
          <w:numId w:val="10"/>
        </w:numPr>
      </w:pPr>
      <w:r>
        <w:t>Uninstall using the platform default. Confirm application data is retained unless the user explicitly chooses deletion; document the manual removal path.</w:t>
      </w:r>
    </w:p>
    <w:p>
      <w:pPr>
        <w:keepLines/>
        <w:numPr>
          <w:ilvl w:val="0"/>
          <w:numId w:val="10"/>
        </w:numPr>
      </w:pPr>
      <w:r>
        <w:t>Record cold start, common navigation p95, 10,000-row filter, 1,000-row import, and idle memory against the committed performance budgets. Reject accepted-baseline regression above 15%.</w:t>
      </w:r>
    </w:p>
    <w:p>
      <w:pPr>
        <w:spacing w:after="80"/>
      </w:pPr>
      <w:r>
        <w:rPr>
          <w:b/>
        </w:rPr>
        <w:t xml:space="preserve">Test coordinator: </w:t>
      </w:r>
      <w:r>
        <w:t>__________________________________________________________________________</w:t>
      </w:r>
    </w:p>
    <w:p>
      <w:pPr>
        <w:spacing w:after="80"/>
      </w:pPr>
      <w:r>
        <w:rPr>
          <w:b/>
        </w:rPr>
        <w:t xml:space="preserve">Candidate version: </w:t>
      </w:r>
      <w:r>
        <w:t>__________________________________________________________________________</w:t>
      </w:r>
    </w:p>
    <w:p>
      <w:pPr>
        <w:spacing w:after="80"/>
      </w:pPr>
      <w:r>
        <w:rPr>
          <w:b/>
        </w:rPr>
        <w:t xml:space="preserve">Evidence folder: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13. Security, privacy, payment, and recovery evidence</w:t>
      </w:r>
    </w:p>
    <w:p>
      <w:pPr>
        <w:keepLines/>
        <w:numPr>
          <w:ilvl w:val="0"/>
          <w:numId w:val="12"/>
        </w:numPr>
      </w:pPr>
      <w:r>
        <w:t>Backend: at least 324 tests pass, including auth/PIN, encryption, migrations, backups, merchant upsert, licenses, goal ledgers and FD/RD suggestions, simulation reference vectors, recurring detection, atomic accounts, package privacy, CA tax pack, classification memory, performance, net worth, behavior insights, and reward-pilot redaction.</w:t>
      </w:r>
    </w:p>
    <w:p>
      <w:pPr>
        <w:keepLines/>
        <w:numPr>
          <w:ilvl w:val="0"/>
          <w:numId w:val="12"/>
        </w:numPr>
      </w:pPr>
      <w:r>
        <w:t>Frontend: lint and production build pass. Focused Playwright covers PIN entry, portal calculation help, goals, recurring re-detection, external pricing, settings disclosure, and CA tax-pack controls.</w:t>
      </w:r>
    </w:p>
    <w:p>
      <w:pPr>
        <w:keepLines/>
        <w:numPr>
          <w:ilvl w:val="0"/>
          <w:numId w:val="12"/>
        </w:numPr>
      </w:pPr>
      <w:r>
        <w:t>Website: entitlement/payment contract verification, production build, real-app product chapters, reduced-motion fallbacks, mobile overflow, lifetime/no-bundled-credit pricing, security headers, checkout safe-disable behavior, and dependency audit pass. The final production URL scores Lighthouse performance 99, accessibility 100, and SEO 100, with LCP 1.73 seconds and CLS 0.</w:t>
      </w:r>
    </w:p>
    <w:p>
      <w:pPr>
        <w:keepLines/>
        <w:numPr>
          <w:ilvl w:val="0"/>
          <w:numId w:val="12"/>
        </w:numPr>
      </w:pPr>
      <w:r>
        <w:t>Dependencies: Python lock, frontend, website, and desktop shipped dependencies report no known vulnerabilities.</w:t>
      </w:r>
    </w:p>
    <w:p>
      <w:pPr>
        <w:keepLines/>
        <w:numPr>
          <w:ilvl w:val="0"/>
          <w:numId w:val="12"/>
        </w:numPr>
      </w:pPr>
      <w:r>
        <w:t>Secrets: gitleaks scans the complete cleaned history; no real statements, databases, tokens, keys, or customer screenshots are tracked.</w:t>
      </w:r>
    </w:p>
    <w:p>
      <w:pPr>
        <w:keepLines/>
        <w:numPr>
          <w:ilvl w:val="0"/>
          <w:numId w:val="12"/>
        </w:numPr>
      </w:pPr>
      <w:r>
        <w:t>Recovery: empty database bootstrap, schema-revision backup, retained daily/weekly backups, restore-on-copy, upgrade, rollback, and license offline-grace tests pass.</w:t>
      </w:r>
    </w:p>
    <w:p>
      <w:pPr>
        <w:keepLines/>
        <w:numPr>
          <w:ilvl w:val="0"/>
          <w:numId w:val="12"/>
        </w:numPr>
      </w:pPr>
      <w:r>
        <w:t>Payment: test-mode replay, amount/currency mismatch, invalid signature, unauthenticated checkout, device limit, deactivation, and resend behavior pass after provider credentials are available.</w:t>
      </w:r>
    </w:p>
    <w:p>
      <w:pPr>
        <w:keepLines/>
        <w:numPr>
          <w:ilvl w:val="0"/>
          <w:numId w:val="12"/>
        </w:numPr>
      </w:pPr>
      <w:r>
        <w:t>Privacy: app data remains local; sponsor card is static/non-personalized; behavior insights are never used for consequential decisions; pilot remains off unless separately approved.</w:t>
      </w:r>
    </w:p>
    <w:p>
      <w:pPr>
        <w:spacing w:before="100" w:after="160" w:line="288" w:lineRule="auto"/>
        <w:ind w:left="115" w:right="115"/>
        <w:shd w:fill="FFF4D8"/>
        <w:pBdr>
          <w:left w:val="single" w:sz="18" w:space="8" w:color="7A5A00"/>
        </w:pBdr>
      </w:pPr>
      <w:r>
        <w:rPr>
          <w:rFonts w:ascii="Calibri" w:hAnsi="Calibri"/>
          <w:b/>
          <w:color w:val="7A5A00"/>
          <w:sz w:val="21"/>
        </w:rPr>
        <w:t xml:space="preserve">CI RELEASE GATE  </w:t>
      </w:r>
      <w:r>
        <w:rPr>
          <w:rFonts w:ascii="Calibri" w:hAnsi="Calibri"/>
          <w:color w:val="172033"/>
          <w:sz w:val="21"/>
        </w:rPr>
        <w:t>Do not tag a candidate until the CI run for the exact commit is green. A local pass is necessary but not sufficient.</w:t>
      </w:r>
    </w:p>
    <w:p>
      <w:pPr>
        <w:spacing w:after="80"/>
      </w:pPr>
      <w:r>
        <w:rPr>
          <w:b/>
        </w:rPr>
        <w:t xml:space="preserve">Release commit: </w:t>
      </w:r>
      <w:r>
        <w:t>__________________________________________________________________________</w:t>
      </w:r>
    </w:p>
    <w:p>
      <w:pPr>
        <w:spacing w:after="80"/>
      </w:pPr>
      <w:r>
        <w:rPr>
          <w:b/>
        </w:rPr>
        <w:t xml:space="preserve">CI run URL: </w:t>
      </w:r>
      <w:r>
        <w:t>__________________________________________________________________________</w:t>
      </w:r>
    </w:p>
    <w:p>
      <w:pPr>
        <w:spacing w:after="80"/>
      </w:pPr>
      <w:r>
        <w:rPr>
          <w:b/>
        </w:rPr>
        <w:t xml:space="preserve">Security scan evidence: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14. Prepare the private draft release</w:t>
      </w:r>
    </w:p>
    <w:p>
      <w:pPr>
        <w:keepLines/>
        <w:numPr>
          <w:ilvl w:val="0"/>
          <w:numId w:val="10"/>
        </w:numPr>
      </w:pPr>
      <w:r>
        <w:t>Choose an internal release-candidate version such as v0.1.0-rc.1. Confirm desktop/package.json and website version variables agree before tagging.</w:t>
      </w:r>
    </w:p>
    <w:p>
      <w:pPr>
        <w:keepLines/>
        <w:numPr>
          <w:ilvl w:val="0"/>
          <w:numId w:val="10"/>
        </w:numPr>
      </w:pPr>
      <w:r>
        <w:t>Push the exact candidate commit to the private repository and wait for every CI job to pass.</w:t>
      </w:r>
    </w:p>
    <w:p>
      <w:pPr>
        <w:keepLines/>
        <w:numPr>
          <w:ilvl w:val="0"/>
          <w:numId w:val="10"/>
        </w:numPr>
      </w:pPr>
      <w:r>
        <w:t>Confirm all required Apple, Windows, and R2 secrets exist in GitHub Actions without revealing values.</w:t>
      </w:r>
    </w:p>
    <w:p>
      <w:pPr>
        <w:keepLines/>
        <w:numPr>
          <w:ilvl w:val="0"/>
          <w:numId w:val="10"/>
        </w:numPr>
      </w:pPr>
      <w:r>
        <w:t>Create and push the annotated tag. The release workflow builds native macOS arm64/x64, Windows x64, and Linux x64 artifacts; verifies packages; generates Homebrew metadata and SHA-256 checksums; and creates a private draft GitHub Release.</w:t>
      </w:r>
    </w:p>
    <w:p>
      <w:pPr>
        <w:keepLines/>
        <w:numPr>
          <w:ilvl w:val="0"/>
          <w:numId w:val="10"/>
        </w:numPr>
      </w:pPr>
      <w:r>
        <w:t>Review the draft only. Do not publish it. Download every artifact, verify checksums/signatures, and complete Section 12.</w:t>
      </w:r>
    </w:p>
    <w:p>
      <w:pPr>
        <w:keepLines/>
        <w:numPr>
          <w:ilvl w:val="0"/>
          <w:numId w:val="10"/>
        </w:numPr>
      </w:pPr>
      <w:r>
        <w:t>Attach the final privacy-safe screenshots and private demo to internal review, not to a public release, until the owner approves.</w:t>
      </w:r>
    </w:p>
    <w:p>
      <w:pPr>
        <w:keepLines/>
        <w:numPr>
          <w:ilvl w:val="0"/>
          <w:numId w:val="10"/>
        </w:numPr>
      </w:pPr>
      <w:r>
        <w:t>Record known limitations honestly: HDFC launch parser scope where applicable, live-market provider coverage, no recurring AI allowance, optional local/BYO AI, and external-service dependencies.</w:t>
      </w:r>
    </w:p>
    <w:p>
      <w:pPr>
        <w:keepLines/>
        <w:numPr>
          <w:ilvl w:val="0"/>
          <w:numId w:val="12"/>
        </w:numPr>
      </w:pPr>
      <w:r>
        <w:t>Private draft release exists and is not published.</w:t>
      </w:r>
    </w:p>
    <w:p>
      <w:pPr>
        <w:keepLines/>
        <w:numPr>
          <w:ilvl w:val="0"/>
          <w:numId w:val="12"/>
        </w:numPr>
      </w:pPr>
      <w:r>
        <w:t>Every expected OS/architecture artifact and update manifest exists.</w:t>
      </w:r>
    </w:p>
    <w:p>
      <w:pPr>
        <w:keepLines/>
        <w:numPr>
          <w:ilvl w:val="0"/>
          <w:numId w:val="12"/>
        </w:numPr>
      </w:pPr>
      <w:r>
        <w:t>Checksums, signatures, notarization, fuses, and clean-system evidence pass.</w:t>
      </w:r>
    </w:p>
    <w:p>
      <w:pPr>
        <w:keepLines/>
        <w:numPr>
          <w:ilvl w:val="0"/>
          <w:numId w:val="12"/>
        </w:numPr>
      </w:pPr>
      <w:r>
        <w:t>Release notes match the shared entitlement manifest.</w:t>
      </w:r>
    </w:p>
    <w:p>
      <w:pPr>
        <w:keepLines/>
        <w:numPr>
          <w:ilvl w:val="0"/>
          <w:numId w:val="12"/>
        </w:numPr>
      </w:pPr>
      <w:r>
        <w:t>No public updater promotion has run.</w:t>
      </w:r>
    </w:p>
    <w:p>
      <w:pPr>
        <w:spacing w:after="80"/>
      </w:pPr>
      <w:r>
        <w:rPr>
          <w:b/>
        </w:rPr>
        <w:t xml:space="preserve">Candidate tag: </w:t>
      </w:r>
      <w:r>
        <w:t>__________________________________________________________________________</w:t>
      </w:r>
    </w:p>
    <w:p>
      <w:pPr>
        <w:spacing w:after="80"/>
      </w:pPr>
      <w:r>
        <w:rPr>
          <w:b/>
        </w:rPr>
        <w:t xml:space="preserve">Draft release URL: </w:t>
      </w:r>
      <w:r>
        <w:t>__________________________________________________________________________</w:t>
      </w:r>
    </w:p>
    <w:p>
      <w:pPr>
        <w:spacing w:after="80"/>
      </w:pPr>
      <w:r>
        <w:rPr>
          <w:b/>
        </w:rPr>
        <w:t xml:space="preserve">Release reviewer: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15. Final website and support acceptance</w:t>
      </w:r>
    </w:p>
    <w:p>
      <w:pPr>
        <w:spacing w:before="100" w:after="160" w:line="288" w:lineRule="auto"/>
        <w:ind w:left="115" w:right="115"/>
        <w:shd w:fill="EAF7EF"/>
        <w:pBdr>
          <w:left w:val="single" w:sz="18" w:space="8" w:color="17663A"/>
        </w:pBdr>
      </w:pPr>
      <w:r>
        <w:rPr>
          <w:rFonts w:ascii="Calibri" w:hAnsi="Calibri"/>
          <w:b/>
          <w:color w:val="17663A"/>
          <w:sz w:val="21"/>
        </w:rPr>
        <w:t xml:space="preserve">VERIFIED ASSETS  </w:t>
      </w:r>
      <w:r>
        <w:rPr>
          <w:rFonts w:ascii="Calibri" w:hAnsi="Calibri"/>
          <w:color w:val="172033"/>
          <w:sz w:val="21"/>
        </w:rPr>
        <w:t>The current website tour demonstrates imports, learned classification, goals, recurring detection, CA tax packs, and local privacy using synthetic-data captures from the real React application. A muted WebM/MP4 loop, still posters, lazy loading, and prefers-reduced-motion fallbacks are included.</w:t>
      </w:r>
    </w:p>
    <w:p>
      <w:pPr>
        <w:keepLines/>
        <w:numPr>
          <w:ilvl w:val="0"/>
          <w:numId w:val="10"/>
        </w:numPr>
      </w:pPr>
      <w:r>
        <w:t>Verify all advertised features are marked released in shared/entitlements.json and pass app acceptance tests. Hide anything unreleased.</w:t>
      </w:r>
    </w:p>
    <w:p>
      <w:pPr>
        <w:keepLines/>
        <w:numPr>
          <w:ilvl w:val="0"/>
          <w:numId w:val="10"/>
        </w:numPr>
      </w:pPr>
      <w:r>
        <w:t>Review the final real screenshots captured from synthetic data. Confirm there are no real names, account numbers, emails, amounts from a real person, or provider keys.</w:t>
      </w:r>
    </w:p>
    <w:p>
      <w:pPr>
        <w:keepLines/>
        <w:numPr>
          <w:ilvl w:val="0"/>
          <w:numId w:val="10"/>
        </w:numPr>
      </w:pPr>
      <w:r>
        <w:t>Play the private demo end-to-end. Verify it reflects the signed candidate and does not expose local paths, notifications, credentials, or personal data.</w:t>
      </w:r>
    </w:p>
    <w:p>
      <w:pPr>
        <w:keepLines/>
        <w:numPr>
          <w:ilvl w:val="0"/>
          <w:numId w:val="10"/>
        </w:numPr>
      </w:pPr>
      <w:r>
        <w:t>Complete Google sign-in, double-opt-in waitlist, test/live checkout, license email, account activations, device deactivation, and download links on the canonical domain.</w:t>
      </w:r>
    </w:p>
    <w:p>
      <w:pPr>
        <w:keepLines/>
        <w:numPr>
          <w:ilvl w:val="0"/>
          <w:numId w:val="10"/>
        </w:numPr>
      </w:pPr>
      <w:r>
        <w:t>Ensure Pro ₹4,999 and Max ₹9,999 are lifetime licenses with zero hosted credits; local AI and BYO keys consume no GODFIN credits; hosted packs are separate one-time purchases.</w:t>
      </w:r>
    </w:p>
    <w:p>
      <w:pPr>
        <w:keepLines/>
        <w:numPr>
          <w:ilvl w:val="0"/>
          <w:numId w:val="10"/>
        </w:numPr>
      </w:pPr>
      <w:r>
        <w:t>Review privacy, terms, refund, lifetime definition, device limit, offline grace, supported OS/banks, market-data caveats, and support contacts with qualified Indian legal/tax advisers.</w:t>
      </w:r>
    </w:p>
    <w:p>
      <w:pPr>
        <w:keepLines/>
        <w:numPr>
          <w:ilvl w:val="0"/>
          <w:numId w:val="10"/>
        </w:numPr>
      </w:pPr>
      <w:r>
        <w:t>Assign launch-day monitoring for checkout failures, webhook retries, email delivery, downloads, license activation, support, refunds, security reports, and rollback.</w:t>
      </w:r>
    </w:p>
    <w:p>
      <w:pPr>
        <w:keepLines/>
        <w:numPr>
          <w:ilvl w:val="0"/>
          <w:numId w:val="12"/>
        </w:numPr>
      </w:pPr>
      <w:r>
        <w:t>Website production paths and security headers pass.</w:t>
      </w:r>
    </w:p>
    <w:p>
      <w:pPr>
        <w:keepLines/>
        <w:numPr>
          <w:ilvl w:val="0"/>
          <w:numId w:val="12"/>
        </w:numPr>
      </w:pPr>
      <w:r>
        <w:t>All sold features are implemented and released.</w:t>
      </w:r>
    </w:p>
    <w:p>
      <w:pPr>
        <w:keepLines/>
        <w:numPr>
          <w:ilvl w:val="0"/>
          <w:numId w:val="12"/>
        </w:numPr>
      </w:pPr>
      <w:r>
        <w:t>Support and privacy mailboxes are staffed.</w:t>
      </w:r>
    </w:p>
    <w:p>
      <w:pPr>
        <w:keepLines/>
        <w:numPr>
          <w:ilvl w:val="0"/>
          <w:numId w:val="12"/>
        </w:numPr>
      </w:pPr>
      <w:r>
        <w:t>Legal/tax/privacy approvals are archived.</w:t>
      </w:r>
    </w:p>
    <w:p>
      <w:pPr>
        <w:keepLines/>
        <w:numPr>
          <w:ilvl w:val="0"/>
          <w:numId w:val="12"/>
        </w:numPr>
      </w:pPr>
      <w:r>
        <w:t>Signed downloads and account/device controls work.</w:t>
      </w:r>
    </w:p>
    <w:p>
      <w:pPr>
        <w:keepLines/>
        <w:numPr>
          <w:ilvl w:val="0"/>
          <w:numId w:val="12"/>
        </w:numPr>
      </w:pPr>
      <w:r>
        <w:t>Screenshots and demo match the final candidate.</w:t>
      </w:r>
    </w:p>
    <w:p>
      <w:r>
        <w:br w:type="page"/>
      </w:r>
    </w:p>
    <w:p>
      <w:pPr>
        <w:pStyle w:val="Heading1"/>
      </w:pPr>
      <w:r>
        <w:t>16. Explicit public-launch gate</w:t>
      </w:r>
    </w:p>
    <w:p>
      <w:pPr>
        <w:spacing w:before="100" w:after="160" w:line="288" w:lineRule="auto"/>
        <w:ind w:left="115" w:right="115"/>
        <w:shd w:fill="FDECEC"/>
        <w:pBdr>
          <w:left w:val="single" w:sz="18" w:space="8" w:color="9B1C1C"/>
        </w:pBdr>
      </w:pPr>
      <w:r>
        <w:rPr>
          <w:rFonts w:ascii="Calibri" w:hAnsi="Calibri"/>
          <w:b/>
          <w:color w:val="9B1C1C"/>
          <w:sz w:val="21"/>
        </w:rPr>
        <w:t xml:space="preserve">NO IMPLIED AUTHORIZATION  </w:t>
      </w:r>
      <w:r>
        <w:rPr>
          <w:rFonts w:ascii="Calibri" w:hAnsi="Calibri"/>
          <w:color w:val="172033"/>
          <w:sz w:val="21"/>
        </w:rPr>
        <w:t>A green build, deployed website, signed installer, draft release, completed runbook, or successful payment test does not authorize a public launch. Public release and Phase 6 require explicit written owner authorization.</w:t>
      </w:r>
    </w:p>
    <w:tbl>
      <w:tblPr>
        <w:tblStyle w:val="TableGrid"/>
        <w:tblW w:type="dxa" w:w="9360"/>
        <w:tblLayout w:type="fixed"/>
        <w:tblLook w:firstColumn="1" w:firstRow="1" w:lastColumn="0" w:lastRow="0" w:noHBand="0" w:noVBand="1" w:val="04A0"/>
        <w:tblInd w:w="120" w:type="dxa"/>
      </w:tblPr>
      <w:tblGrid>
        <w:gridCol w:w="3500"/>
        <w:gridCol w:w="1450"/>
        <w:gridCol w:w="900"/>
        <w:gridCol w:w="3510"/>
      </w:tblGrid>
      <w:tr>
        <w:trPr>
          <w:tblHeader w:val="true"/>
        </w:trPr>
        <w:tc>
          <w:tcPr>
            <w:tcW w:type="dxa" w:w="3500"/>
            <w:shd w:fill="E8EEF5"/>
            <w:tcMar>
              <w:top w:w="80" w:type="dxa"/>
              <w:start w:w="120" w:type="dxa"/>
              <w:bottom w:w="80" w:type="dxa"/>
              <w:end w:w="120" w:type="dxa"/>
            </w:tcMar>
            <w:vAlign w:val="center"/>
          </w:tcPr>
          <w:p>
            <w:pPr>
              <w:spacing w:after="0"/>
            </w:pPr>
            <w:r>
              <w:rPr>
                <w:rFonts w:ascii="Calibri" w:hAnsi="Calibri"/>
                <w:b/>
                <w:color w:val="163A5F"/>
                <w:sz w:val="19"/>
              </w:rPr>
              <w:t>Gate</w:t>
            </w:r>
          </w:p>
        </w:tc>
        <w:tc>
          <w:tcPr>
            <w:tcW w:type="dxa" w:w="1450"/>
            <w:shd w:fill="E8EEF5"/>
            <w:tcMar>
              <w:top w:w="80" w:type="dxa"/>
              <w:start w:w="120" w:type="dxa"/>
              <w:bottom w:w="80" w:type="dxa"/>
              <w:end w:w="120" w:type="dxa"/>
            </w:tcMar>
            <w:vAlign w:val="center"/>
          </w:tcPr>
          <w:p>
            <w:pPr>
              <w:spacing w:after="0"/>
            </w:pPr>
            <w:r>
              <w:rPr>
                <w:rFonts w:ascii="Calibri" w:hAnsi="Calibri"/>
                <w:b/>
                <w:color w:val="163A5F"/>
                <w:sz w:val="19"/>
              </w:rPr>
              <w:t>Owner</w:t>
            </w:r>
          </w:p>
        </w:tc>
        <w:tc>
          <w:tcPr>
            <w:tcW w:type="dxa" w:w="900"/>
            <w:shd w:fill="E8EEF5"/>
            <w:tcMar>
              <w:top w:w="80" w:type="dxa"/>
              <w:start w:w="120" w:type="dxa"/>
              <w:bottom w:w="80" w:type="dxa"/>
              <w:end w:w="120" w:type="dxa"/>
            </w:tcMar>
            <w:vAlign w:val="center"/>
          </w:tcPr>
          <w:p>
            <w:pPr>
              <w:spacing w:after="0"/>
            </w:pPr>
            <w:r>
              <w:rPr>
                <w:rFonts w:ascii="Calibri" w:hAnsi="Calibri"/>
                <w:b/>
                <w:color w:val="163A5F"/>
                <w:sz w:val="19"/>
              </w:rPr>
              <w:t>Complete</w:t>
            </w:r>
          </w:p>
        </w:tc>
        <w:tc>
          <w:tcPr>
            <w:tcW w:type="dxa" w:w="3510"/>
            <w:shd w:fill="E8EEF5"/>
            <w:tcMar>
              <w:top w:w="80" w:type="dxa"/>
              <w:start w:w="120" w:type="dxa"/>
              <w:bottom w:w="80" w:type="dxa"/>
              <w:end w:w="120" w:type="dxa"/>
            </w:tcMar>
            <w:vAlign w:val="center"/>
          </w:tcPr>
          <w:p>
            <w:pPr>
              <w:spacing w:after="0"/>
            </w:pPr>
            <w:r>
              <w:rPr>
                <w:rFonts w:ascii="Calibri" w:hAnsi="Calibri"/>
                <w:b/>
                <w:color w:val="163A5F"/>
                <w:sz w:val="19"/>
              </w:rPr>
              <w:t>Evidence / approval reference</w:t>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Google OAuth callback</w:t>
            </w:r>
          </w:p>
        </w:tc>
        <w:tc>
          <w:tcPr>
            <w:tcW w:type="dxa" w:w="1450"/>
            <w:tcMar>
              <w:top w:w="80" w:type="dxa"/>
              <w:start w:w="120" w:type="dxa"/>
              <w:bottom w:w="80" w:type="dxa"/>
              <w:end w:w="120" w:type="dxa"/>
            </w:tcMar>
            <w:vAlign w:val="center"/>
          </w:tcPr>
          <w:p>
            <w:pPr>
              <w:spacing w:after="0"/>
            </w:pPr>
            <w:r>
              <w:rPr>
                <w:rFonts w:ascii="Calibri" w:hAnsi="Calibri"/>
                <w:color w:val="172033"/>
                <w:sz w:val="18"/>
              </w:rPr>
              <w:t>Codex</w:t>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t>Production callback passed twice on 30 Jul 2026; rotated client active; original client revoked.</w:t>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Second-account isolation</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t>Repeat with a distinct Google test account before public launch.</w:t>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Stripe + webhook + refund/tax</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Resend + DNS + support inboxes</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Custom domain + security headers</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License custody + three devices</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macOS/Windows signing</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R2 updates + rollback</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Clean-system matrix</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Security/privacy/recovery matrix</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Legal/tax/privacy review</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Private draft + screenshots + demo</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Final public-launch authorization</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bl>
    <w:p>
      <w:pPr>
        <w:spacing w:after="20"/>
      </w:pPr>
    </w:p>
    <w:p>
      <w:r>
        <w:br w:type="page"/>
      </w:r>
    </w:p>
    <w:p>
      <w:pPr>
        <w:spacing w:after="80"/>
      </w:pPr>
      <w:r>
        <w:rPr>
          <w:b/>
        </w:rPr>
        <w:t xml:space="preserve">Authorized release version: </w:t>
      </w:r>
      <w:r>
        <w:t>__________________________________________________________________________</w:t>
      </w:r>
    </w:p>
    <w:p>
      <w:pPr>
        <w:spacing w:after="80"/>
      </w:pPr>
      <w:r>
        <w:rPr>
          <w:b/>
        </w:rPr>
        <w:t xml:space="preserve">Authorized canonical website: </w:t>
      </w:r>
      <w:r>
        <w:t>__________________________________________________________________________</w:t>
      </w:r>
    </w:p>
    <w:p>
      <w:pPr>
        <w:spacing w:after="80"/>
      </w:pPr>
      <w:r>
        <w:rPr>
          <w:b/>
        </w:rPr>
        <w:t xml:space="preserve">Authorized public release date/time: </w:t>
      </w:r>
      <w:r>
        <w:t>__________________________________________________________________________</w:t>
      </w:r>
    </w:p>
    <w:p>
      <w:pPr>
        <w:spacing w:after="80"/>
      </w:pPr>
      <w:r>
        <w:rPr>
          <w:b/>
        </w:rPr>
        <w:t xml:space="preserve">Owner’s written authorization reference: </w:t>
      </w:r>
      <w:r>
        <w:t>__________________________________________________________________________</w:t>
      </w:r>
    </w:p>
    <w:p>
      <w:pPr>
        <w:spacing w:after="80"/>
      </w:pPr>
      <w:r>
        <w:rPr>
          <w:b/>
        </w:rPr>
        <w:t xml:space="preserve">Owner signature: </w:t>
      </w:r>
      <w:r>
        <w:t>__________________________________________________________________________</w:t>
      </w:r>
    </w:p>
    <w:p>
      <w:pPr>
        <w:spacing w:after="80"/>
      </w:pPr>
      <w:r>
        <w:rPr>
          <w:b/>
        </w:rPr>
        <w:t xml:space="preserve">Date: </w:t>
      </w:r>
      <w:r>
        <w:t>__________________________________________________________________________</w:t>
      </w:r>
    </w:p>
    <w:p>
      <w:pPr>
        <w:spacing w:before="400"/>
        <w:jc w:val="center"/>
      </w:pPr>
      <w:r>
        <w:rPr>
          <w:rFonts w:ascii="Calibri" w:hAnsi="Calibri"/>
          <w:b/>
          <w:color w:val="9B1C1C"/>
          <w:sz w:val="22"/>
        </w:rPr>
        <w:t>Only after this gate is signed may the team publish the GitHub Release, promote the update feed, enable production checkout, announce the product publicly, or begin Phase 6 growth work.</w:t>
      </w: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Calibri" w:hAnsi="Calibri"/>
        <w:color w:val="667085"/>
        <w:sz w:val="18"/>
      </w:rPr>
      <w:t xml:space="preserve">Private &amp; confidential  •  Page </w:t>
    </w:r>
    <w:r>
      <w:rPr>
        <w:rFonts w:ascii="Calibri" w:hAnsi="Calibri"/>
        <w:color w:val="667085"/>
        <w:sz w:val="18"/>
      </w:rPr>
      <w:fldChar w:fldCharType="begin"/>
      <w:instrText xml:space="preserve">PAGE</w:instrText>
      <w:fldChar w:fldCharType="separate"/>
      <w:t>1</w:t>
      <w:fldChar w:fldCharType="end"/>
    </w:r>
    <w:r>
      <w:rPr>
        <w:rFonts w:ascii="Calibri" w:hAnsi="Calibri"/>
        <w:color w:val="667085"/>
        <w:sz w:val="18"/>
      </w:rPr>
      <w:t xml:space="preserve"> of </w:t>
    </w:r>
    <w:r>
      <w:rPr>
        <w:rFonts w:ascii="Calibri" w:hAnsi="Calibri"/>
        <w:color w:val="667085"/>
        <w:sz w:val="18"/>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67085"/>
        <w:sz w:val="17"/>
      </w:rPr>
      <w:t>GODFIN  /  PRIVATE OWNER RUNBOOK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720"/>
        </w:tabs>
        <w:ind w:left="720" w:hanging="360"/>
        <w:spacing w:after="60" w:line="276" w:lineRule="auto"/>
      </w:pPr>
    </w:lvl>
  </w:abstractNum>
  <w:num w:numId="10">
    <w:abstractNumId w:val="9"/>
  </w:num>
  <w:abstractNum w:abstractNumId="10">
    <w:multiLevelType w:val="singleLevel"/>
    <w:lvl w:ilvl="0">
      <w:start w:val="1"/>
      <w:numFmt w:val="bullet"/>
      <w:lvlText w:val="•"/>
      <w:lvlJc w:val="left"/>
      <w:pPr>
        <w:tabs>
          <w:tab w:val="num" w:pos="720"/>
        </w:tabs>
        <w:ind w:left="720" w:hanging="360"/>
        <w:spacing w:after="60" w:line="276" w:lineRule="auto"/>
      </w:pPr>
      <w:rPr>
        <w:rFonts w:ascii="Segoe UI Symbol" w:hAnsi="Segoe UI Symbol"/>
      </w:rPr>
    </w:lvl>
  </w:abstractNum>
  <w:num w:numId="11">
    <w:abstractNumId w:val="10"/>
  </w:num>
  <w:abstractNum w:abstractNumId="11">
    <w:multiLevelType w:val="singleLevel"/>
    <w:lvl w:ilvl="0">
      <w:start w:val="1"/>
      <w:numFmt w:val="bullet"/>
      <w:lvlText w:val="☐"/>
      <w:lvlJc w:val="left"/>
      <w:pPr>
        <w:tabs>
          <w:tab w:val="num" w:pos="720"/>
        </w:tabs>
        <w:ind w:left="720" w:hanging="360"/>
        <w:spacing w:after="60" w:line="276" w:lineRule="auto"/>
      </w:pPr>
      <w:rPr>
        <w:rFonts w:ascii="Segoe UI Symbol" w:hAnsi="Segoe UI Symbol"/>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76" w:lineRule="auto"/>
    </w:pPr>
    <w:rPr>
      <w:rFonts w:ascii="Calibri" w:hAnsi="Calibri"/>
      <w:color w:val="1720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unbookCaption">
    <w:name w:val="Runbook Caption"/>
    <w:pPr>
      <w:spacing w:before="80" w:after="80" w:line="276" w:lineRule="auto"/>
    </w:pPr>
    <w:rPr>
      <w:rFonts w:ascii="Calibri" w:hAnsi="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supabase.com/docs/guides/auth/social-login/auth-google" TargetMode="External"/><Relationship Id="rId12" Type="http://schemas.openxmlformats.org/officeDocument/2006/relationships/hyperlink" Target="https://docs.stripe.com/india" TargetMode="External"/><Relationship Id="rId13" Type="http://schemas.openxmlformats.org/officeDocument/2006/relationships/hyperlink" Target="https://docs.stripe.com/webhooks/signature" TargetMode="External"/><Relationship Id="rId14" Type="http://schemas.openxmlformats.org/officeDocument/2006/relationships/hyperlink" Target="https://resend.com/docs/dashboard/domains/introduction" TargetMode="External"/><Relationship Id="rId15" Type="http://schemas.openxmlformats.org/officeDocument/2006/relationships/hyperlink" Target="https://twelvedata.com/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GODFIN Owner Completion Runbook</dc:title>
  <dc:subject>Private launch readiness and owner-controlled completion gates</dc:subject>
  <dc:creator/>
  <cp:keywords>GODFIN, private launch, owner runbook, signing, payments, privacy</cp:keywords>
  <dc:description>generated by python-docx</dc:description>
  <cp:lastModifiedBy/>
  <cp:revision>1</cp:revision>
  <dcterms:created xsi:type="dcterms:W3CDTF">2013-12-23T23:15:00Z</dcterms:created>
  <dcterms:modified xsi:type="dcterms:W3CDTF">2013-12-23T23:15:00Z</dcterms:modified>
  <cp:category/>
</cp:coreProperties>
</file>