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694A7" w14:textId="6DE58A5E" w:rsidR="00280CD5" w:rsidRDefault="00213723">
      <w:r>
        <w:t xml:space="preserve">Harvest of the US cotton crop has kicked off in earnest with </w:t>
      </w:r>
      <w:r w:rsidR="00F27416">
        <w:t xml:space="preserve">dry weather across the Southeast facilitating </w:t>
      </w:r>
      <w:r w:rsidR="00421692">
        <w:t xml:space="preserve">picking ahead of </w:t>
      </w:r>
      <w:proofErr w:type="gramStart"/>
      <w:r w:rsidR="00421692">
        <w:t>5 year</w:t>
      </w:r>
      <w:proofErr w:type="gramEnd"/>
      <w:r w:rsidR="00421692">
        <w:t xml:space="preserve"> averages. </w:t>
      </w:r>
      <w:r w:rsidR="00BE5C44">
        <w:t xml:space="preserve">Condition of the crop varies widely across the cotton belt with </w:t>
      </w:r>
      <w:r w:rsidR="007F2146">
        <w:t xml:space="preserve">good-to-excellent cotton predominating in the southeast, </w:t>
      </w:r>
      <w:r w:rsidR="00AA5B85">
        <w:t xml:space="preserve">average cotton predominating in the gulf </w:t>
      </w:r>
      <w:r w:rsidR="00F540B0">
        <w:t xml:space="preserve">and drought holding back </w:t>
      </w:r>
      <w:r w:rsidR="00C54C82">
        <w:t xml:space="preserve">crop potential in Texas. </w:t>
      </w:r>
      <w:r w:rsidR="00B90423">
        <w:t xml:space="preserve">While the Texas crop </w:t>
      </w:r>
      <w:r w:rsidR="00670AF7">
        <w:t xml:space="preserve">faces the same hot, dry conditions that led </w:t>
      </w:r>
      <w:r w:rsidR="0064294F">
        <w:t xml:space="preserve">to record cotton abandonment in 2022, the market conditions </w:t>
      </w:r>
      <w:r w:rsidR="00934292">
        <w:t xml:space="preserve">could not be more different. In 2022, </w:t>
      </w:r>
      <w:r w:rsidR="00614B91">
        <w:t xml:space="preserve">cotton futures fell over the course of the growing season, </w:t>
      </w:r>
      <w:r w:rsidR="00634437">
        <w:t xml:space="preserve">making abandonment attractive from an insurance perspective. For 2026, however, </w:t>
      </w:r>
      <w:r w:rsidR="00B854A5">
        <w:t xml:space="preserve">current futures are up 25% relative to </w:t>
      </w:r>
      <w:r w:rsidR="009F2586">
        <w:t>early January discovery prices</w:t>
      </w:r>
      <w:r w:rsidR="00552322">
        <w:t xml:space="preserve"> meaning poor weather should be reflected in lower yields rather than abandoned acres. </w:t>
      </w:r>
    </w:p>
    <w:p w14:paraId="2EE3E60F" w14:textId="77777777" w:rsidR="00863FCE" w:rsidRDefault="00EA50DF">
      <w:r>
        <w:t xml:space="preserve">Deterioration of the Texas crop </w:t>
      </w:r>
      <w:r w:rsidR="00B26BAD">
        <w:t xml:space="preserve">has provided a new accelerant to cotton futures which had previously garnered strength from </w:t>
      </w:r>
      <w:r w:rsidR="00E41DC2">
        <w:t>a short crop out of Australia</w:t>
      </w:r>
      <w:r w:rsidR="007340A4">
        <w:t>, reduced supports for smallholders in China and a pause in Brazilian growth for 2026/27</w:t>
      </w:r>
      <w:r w:rsidR="00582601">
        <w:t>. While all these factors have helped tighten stocks from the supply side of the ledger</w:t>
      </w:r>
      <w:r w:rsidR="00F55201">
        <w:t xml:space="preserve"> cotton futures have faced resistance from </w:t>
      </w:r>
      <w:r w:rsidR="00890D56">
        <w:t xml:space="preserve">a world grappling with macroeconomic uncertainty and high energy prices – none of which </w:t>
      </w:r>
      <w:r w:rsidR="002E53DB">
        <w:t xml:space="preserve">are good for demand. That said, prices in the mid-80s are profitable for </w:t>
      </w:r>
      <w:r w:rsidR="0009646C">
        <w:t>much of the world’s production</w:t>
      </w:r>
      <w:r w:rsidR="000F6ABC">
        <w:t xml:space="preserve"> and </w:t>
      </w:r>
      <w:r w:rsidR="000A5567">
        <w:t xml:space="preserve">where weather permits, will drive </w:t>
      </w:r>
      <w:r w:rsidR="00863FCE">
        <w:t xml:space="preserve">an increase in acreage for the year ahead. </w:t>
      </w:r>
    </w:p>
    <w:p w14:paraId="2A042853" w14:textId="26639E1B" w:rsidR="00EA50DF" w:rsidRDefault="00863FCE">
      <w:r>
        <w:t xml:space="preserve">In the case of the US, </w:t>
      </w:r>
      <w:r w:rsidR="00835A14">
        <w:t xml:space="preserve">the ratio of December corn </w:t>
      </w:r>
      <w:r w:rsidR="003D7B4C">
        <w:t>to cotton futures point to a pickup of one million acres</w:t>
      </w:r>
      <w:r w:rsidR="005B28D0">
        <w:t xml:space="preserve"> (</w:t>
      </w:r>
      <w:r w:rsidR="00123E9F">
        <w:t>10%)</w:t>
      </w:r>
      <w:r w:rsidR="003E2820">
        <w:t xml:space="preserve">, aided by </w:t>
      </w:r>
      <w:r w:rsidR="006D7FF4">
        <w:t xml:space="preserve">increases to the cotton safety net under the Big Beautiful Bill that exceeded those awarded to other crops. </w:t>
      </w:r>
      <w:r w:rsidR="003D7B4C">
        <w:t xml:space="preserve"> </w:t>
      </w:r>
      <w:r w:rsidR="00C50E7E">
        <w:t>Mean</w:t>
      </w:r>
      <w:r w:rsidR="003D7B4C">
        <w:t>while in Brazil</w:t>
      </w:r>
      <w:r w:rsidR="00C50E7E">
        <w:t>,</w:t>
      </w:r>
      <w:r w:rsidR="003D7B4C">
        <w:t xml:space="preserve"> </w:t>
      </w:r>
      <w:r w:rsidR="00492C65">
        <w:t xml:space="preserve">current estimates point to </w:t>
      </w:r>
      <w:r w:rsidR="00357FCC">
        <w:t xml:space="preserve">a 4-7% increase. For China, acreage determination will depend on the level of support extended to the smallholder while </w:t>
      </w:r>
      <w:r w:rsidR="00E26580">
        <w:t xml:space="preserve">in Australia it will be a function of water availability, with El Nino typically corresponding to </w:t>
      </w:r>
      <w:r w:rsidR="00CC077C">
        <w:t xml:space="preserve">lower rainfalls. </w:t>
      </w:r>
      <w:r w:rsidR="00B80EE0">
        <w:t xml:space="preserve"> </w:t>
      </w:r>
    </w:p>
    <w:p w14:paraId="1ADA6166" w14:textId="09689A96" w:rsidR="001A77F4" w:rsidRDefault="00AC45AC">
      <w:r>
        <w:t xml:space="preserve">With production down, </w:t>
      </w:r>
      <w:r w:rsidR="00202811">
        <w:t xml:space="preserve">global stocks-to-use for 2026/27 are projected to be at their tightest levels </w:t>
      </w:r>
      <w:r w:rsidR="005545CC">
        <w:t xml:space="preserve">since 2010-11. </w:t>
      </w:r>
      <w:r w:rsidR="00335C4D">
        <w:t xml:space="preserve">For markets to find new momentum, there will need to be </w:t>
      </w:r>
      <w:r w:rsidR="00610C35">
        <w:t>confidence that demand growth is forthcoming. The cotton industry’s “Plant not Plastic” campaign, as well as complimentary efforts in the textile industry are helping at the margins, but the real shot in the arm will need to come from global economic growth</w:t>
      </w:r>
      <w:r w:rsidR="00404776">
        <w:t xml:space="preserve">. In response to events in Iran </w:t>
      </w:r>
      <w:r w:rsidR="00BC0B51">
        <w:t>the OECD is currently forecasting</w:t>
      </w:r>
      <w:r w:rsidR="00650CBD">
        <w:t xml:space="preserve"> 2026</w:t>
      </w:r>
      <w:r w:rsidR="00BC0B51">
        <w:t xml:space="preserve"> economic growth</w:t>
      </w:r>
      <w:r w:rsidR="00650CBD">
        <w:t xml:space="preserve"> of 2.9% but revising this figure up </w:t>
      </w:r>
      <w:r w:rsidR="00BC3479">
        <w:t>to 3%</w:t>
      </w:r>
      <w:r w:rsidR="00FE7A92">
        <w:t xml:space="preserve"> for 2027 – historically the minimum needed to maintain cotton consumption globally. </w:t>
      </w:r>
      <w:r w:rsidR="00CA2C5B">
        <w:t xml:space="preserve">While grains and oilseeds may be benefitting from </w:t>
      </w:r>
      <w:r w:rsidR="006F6C0A">
        <w:t>high energy prices (via the biofuel link)</w:t>
      </w:r>
      <w:proofErr w:type="gramStart"/>
      <w:r w:rsidR="006F6C0A">
        <w:t xml:space="preserve"> cotton</w:t>
      </w:r>
      <w:proofErr w:type="gramEnd"/>
      <w:r w:rsidR="006F6C0A">
        <w:t xml:space="preserve"> is </w:t>
      </w:r>
      <w:proofErr w:type="gramStart"/>
      <w:r w:rsidR="006F6C0A">
        <w:t>not, and</w:t>
      </w:r>
      <w:proofErr w:type="gramEnd"/>
      <w:r w:rsidR="006F6C0A">
        <w:t xml:space="preserve"> will be best served by a return to </w:t>
      </w:r>
      <w:r w:rsidR="006527FD">
        <w:t xml:space="preserve">global stability. </w:t>
      </w:r>
    </w:p>
    <w:sectPr w:rsidR="001A77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CD5"/>
    <w:rsid w:val="00067A9F"/>
    <w:rsid w:val="00075641"/>
    <w:rsid w:val="0009646C"/>
    <w:rsid w:val="000A5567"/>
    <w:rsid w:val="000F5DD2"/>
    <w:rsid w:val="000F6ABC"/>
    <w:rsid w:val="00123E9F"/>
    <w:rsid w:val="001A77F4"/>
    <w:rsid w:val="001D2554"/>
    <w:rsid w:val="001E17D5"/>
    <w:rsid w:val="001E5D8C"/>
    <w:rsid w:val="00202811"/>
    <w:rsid w:val="00213723"/>
    <w:rsid w:val="0022580F"/>
    <w:rsid w:val="00253395"/>
    <w:rsid w:val="00280CD5"/>
    <w:rsid w:val="002C5725"/>
    <w:rsid w:val="002E53DB"/>
    <w:rsid w:val="00335C4D"/>
    <w:rsid w:val="00357FCC"/>
    <w:rsid w:val="003757C7"/>
    <w:rsid w:val="003D7B4C"/>
    <w:rsid w:val="003E2820"/>
    <w:rsid w:val="00404776"/>
    <w:rsid w:val="00421692"/>
    <w:rsid w:val="00492C65"/>
    <w:rsid w:val="00510D01"/>
    <w:rsid w:val="005458EE"/>
    <w:rsid w:val="00552322"/>
    <w:rsid w:val="005545CC"/>
    <w:rsid w:val="00582601"/>
    <w:rsid w:val="005B28D0"/>
    <w:rsid w:val="005D7727"/>
    <w:rsid w:val="005F2C8F"/>
    <w:rsid w:val="00610C35"/>
    <w:rsid w:val="00614B91"/>
    <w:rsid w:val="00634437"/>
    <w:rsid w:val="0064294F"/>
    <w:rsid w:val="00650CBD"/>
    <w:rsid w:val="006527FD"/>
    <w:rsid w:val="00670AF7"/>
    <w:rsid w:val="006D7FF4"/>
    <w:rsid w:val="006F6C0A"/>
    <w:rsid w:val="007340A4"/>
    <w:rsid w:val="00773F64"/>
    <w:rsid w:val="007D32B7"/>
    <w:rsid w:val="007F2146"/>
    <w:rsid w:val="00835A14"/>
    <w:rsid w:val="00863FCE"/>
    <w:rsid w:val="008774C5"/>
    <w:rsid w:val="008813C3"/>
    <w:rsid w:val="00890D56"/>
    <w:rsid w:val="00924EF7"/>
    <w:rsid w:val="00934292"/>
    <w:rsid w:val="009527FD"/>
    <w:rsid w:val="009F2586"/>
    <w:rsid w:val="00AA5B85"/>
    <w:rsid w:val="00AC45AC"/>
    <w:rsid w:val="00B00695"/>
    <w:rsid w:val="00B26BAD"/>
    <w:rsid w:val="00B421C9"/>
    <w:rsid w:val="00B80EE0"/>
    <w:rsid w:val="00B854A5"/>
    <w:rsid w:val="00B90423"/>
    <w:rsid w:val="00BC0B51"/>
    <w:rsid w:val="00BC3479"/>
    <w:rsid w:val="00BE5C44"/>
    <w:rsid w:val="00C21C9D"/>
    <w:rsid w:val="00C50E7E"/>
    <w:rsid w:val="00C54C82"/>
    <w:rsid w:val="00CA2C5B"/>
    <w:rsid w:val="00CC077C"/>
    <w:rsid w:val="00D67B75"/>
    <w:rsid w:val="00D85A91"/>
    <w:rsid w:val="00E26580"/>
    <w:rsid w:val="00E41DC2"/>
    <w:rsid w:val="00EA50DF"/>
    <w:rsid w:val="00F27416"/>
    <w:rsid w:val="00F540B0"/>
    <w:rsid w:val="00F55201"/>
    <w:rsid w:val="00FE7A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B9C09"/>
  <w15:chartTrackingRefBased/>
  <w15:docId w15:val="{574D657C-CCCF-4488-A226-79F9CB535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0C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0C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0C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0C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0C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0C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0C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0C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0C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C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0C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0C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0C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0C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0C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0C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0C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0CD5"/>
    <w:rPr>
      <w:rFonts w:eastAsiaTheme="majorEastAsia" w:cstheme="majorBidi"/>
      <w:color w:val="272727" w:themeColor="text1" w:themeTint="D8"/>
    </w:rPr>
  </w:style>
  <w:style w:type="paragraph" w:styleId="Title">
    <w:name w:val="Title"/>
    <w:basedOn w:val="Normal"/>
    <w:next w:val="Normal"/>
    <w:link w:val="TitleChar"/>
    <w:uiPriority w:val="10"/>
    <w:qFormat/>
    <w:rsid w:val="00280C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C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0C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C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0CD5"/>
    <w:pPr>
      <w:spacing w:before="160"/>
      <w:jc w:val="center"/>
    </w:pPr>
    <w:rPr>
      <w:i/>
      <w:iCs/>
      <w:color w:val="404040" w:themeColor="text1" w:themeTint="BF"/>
    </w:rPr>
  </w:style>
  <w:style w:type="character" w:customStyle="1" w:styleId="QuoteChar">
    <w:name w:val="Quote Char"/>
    <w:basedOn w:val="DefaultParagraphFont"/>
    <w:link w:val="Quote"/>
    <w:uiPriority w:val="29"/>
    <w:rsid w:val="00280CD5"/>
    <w:rPr>
      <w:i/>
      <w:iCs/>
      <w:color w:val="404040" w:themeColor="text1" w:themeTint="BF"/>
    </w:rPr>
  </w:style>
  <w:style w:type="paragraph" w:styleId="ListParagraph">
    <w:name w:val="List Paragraph"/>
    <w:basedOn w:val="Normal"/>
    <w:uiPriority w:val="34"/>
    <w:qFormat/>
    <w:rsid w:val="00280CD5"/>
    <w:pPr>
      <w:ind w:left="720"/>
      <w:contextualSpacing/>
    </w:pPr>
  </w:style>
  <w:style w:type="character" w:styleId="IntenseEmphasis">
    <w:name w:val="Intense Emphasis"/>
    <w:basedOn w:val="DefaultParagraphFont"/>
    <w:uiPriority w:val="21"/>
    <w:qFormat/>
    <w:rsid w:val="00280CD5"/>
    <w:rPr>
      <w:i/>
      <w:iCs/>
      <w:color w:val="0F4761" w:themeColor="accent1" w:themeShade="BF"/>
    </w:rPr>
  </w:style>
  <w:style w:type="paragraph" w:styleId="IntenseQuote">
    <w:name w:val="Intense Quote"/>
    <w:basedOn w:val="Normal"/>
    <w:next w:val="Normal"/>
    <w:link w:val="IntenseQuoteChar"/>
    <w:uiPriority w:val="30"/>
    <w:qFormat/>
    <w:rsid w:val="00280C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0CD5"/>
    <w:rPr>
      <w:i/>
      <w:iCs/>
      <w:color w:val="0F4761" w:themeColor="accent1" w:themeShade="BF"/>
    </w:rPr>
  </w:style>
  <w:style w:type="character" w:styleId="IntenseReference">
    <w:name w:val="Intense Reference"/>
    <w:basedOn w:val="DefaultParagraphFont"/>
    <w:uiPriority w:val="32"/>
    <w:qFormat/>
    <w:rsid w:val="00280CD5"/>
    <w:rPr>
      <w:b/>
      <w:bCs/>
      <w:smallCaps/>
      <w:color w:val="0F4761" w:themeColor="accent1" w:themeShade="BF"/>
      <w:spacing w:val="5"/>
    </w:rPr>
  </w:style>
  <w:style w:type="table" w:styleId="TableGrid">
    <w:name w:val="Table Grid"/>
    <w:basedOn w:val="TableNormal"/>
    <w:uiPriority w:val="39"/>
    <w:rsid w:val="006527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92AABC-F541-49BC-B0AE-F8E59F7DD1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1</Pages>
  <Words>414</Words>
  <Characters>2366</Characters>
  <Application>Microsoft Office Word</Application>
  <DocSecurity>0</DocSecurity>
  <Lines>19</Lines>
  <Paragraphs>5</Paragraphs>
  <ScaleCrop>false</ScaleCrop>
  <Company/>
  <LinksUpToDate>false</LinksUpToDate>
  <CharactersWithSpaces>2775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Owen Wagner</dc:creator>
  <cp:keywords/>
  <dc:description/>
  <cp:lastModifiedBy>Owen Wagner</cp:lastModifiedBy>
  <cp:revision>78</cp:revision>
  <dcterms:created xsi:type="dcterms:W3CDTF">2026-09-25T12:56:00Z</dcterms:created>
  <dcterms:modified xsi:type="dcterms:W3CDTF">2026-09-25T16:20:00Z</dcterms:modified>
</cp:coreProperties>
</file>