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Frontend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Frontend software engineer with 5 years of experience shipping React / React Native consumer products from Figma through production — including zero-to-one launches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apps, plus the typed Node.js APIs those products run on.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the client surface of a multi-channel agent platform: chat, tool-invocation, and file-mention UIs on durable, interruptible agent runs. Daily workflow includes Cursor / AI-assisted development.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Frontend engineering · Performance · Complex flows · Typed APIs · Agent UI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Figma through production UI and the APIs behind it, partnering with stakeholders to scope UX and ship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 and shared design systems reused across client work.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Led frontend reviews;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Next.js apps as isomorphic UI plus a BFF layer: SSR / ISR, aggregating Shopify GraphQL, CMS, and search APIs with caching. Independently debug Node runtime issues and production bottlenecks (Lighthouse, 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as reusable client states against a typed API: Better Auth sessions and org membership, OAuth 2.0 / OIDC, JWT / session lifecycle, RBAC — not nested auth conditionals.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 on AWS Lambda / API Gateway (Postgres / DynamoDB / S3). Hardened the edge: strict CORS, trusted origins, WAF rate limits on auth routes, identity from the authorizer cookie — never a client-supplied user header. API keys, tokens, and credentials in SST Secret, not .env.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UI (web + Discord) — the product surface for durable, multi-channel assistants.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Treated failure as first-class, testable UI: visible run status, retries, and resume — not only a completion bubble.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Owned the client contract; also ran Hono + Better Auth on ECS with Postgres / S3, and Mastra / RAG / evals behind the surface.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frontend for a content + search marketing site — performance, CMS-backed pages, and publish UX.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over full SSG or on-demand-only: main pages and the latest 100 articles at build; the rest on demand; Strapi webhook tag revalidation so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criteria: semantic structure, keyboard-safe nav/forms, Lighthouse + axe;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iOS / Android membership app (digital card, points, offers); shipped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Sentry; maintained </w:t>
      </w:r>
      <w:r>
        <w:rPr>
          <w:rFonts w:ascii="Calibri" w:hAnsi="Calibri" w:eastAsia="Calibri"/>
          <w:b/>
          <w:color w:val="1A1A1A"/>
          <w:sz w:val="21"/>
        </w:rPr>
        <w:t xml:space="preserve">&gt;99.5%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FlashList; froze inactive tabs via react-native-screens and deferred mounts; reserved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Shortened feed image loading by caching remotes and avoiding full-resolution assets in long lists.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Also shipped restaurant loyalty apps (React Native), campaign / e-commerce storefronts (Next.js, Shopify GraphQL), CMS content sites, and a photobooth event app (React Native, Skia).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Framer Motion, Tailwind CSS, shadcn/ui, Storybook, Figma, MDX,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SST Secret, Docker, GitHub Actions, AWS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Also used: </w:t>
      </w:r>
      <w:r>
        <w:rPr>
          <w:rFonts w:ascii="Calibri" w:hAnsi="Calibri" w:eastAsia="Calibri"/>
          <w:b w:val="0"/>
          <w:color w:val="1A1A1A"/>
          <w:sz w:val="21"/>
        </w:rPr>
        <w:t xml:space="preserve">Strapi, Sanity, Meilisearch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