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0.4 — черновик для согласования (добавлены многолотовые тендеры)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всё, что доступно ролям ниже; «Настройки» — если открыл Суперадмин; назначает пользователям роли; не меняет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открыт доступ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ФИО</w:t>
      </w:r>
      <w:r>
        <w:rPr>
          <w:rFonts w:ascii="Arial" w:cs="Arial" w:eastAsia="Arial" w:hAnsi="Arial"/>
        </w:rPr>
        <w:t xml:space="preserve"> (Админ/Суперадмин):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направлений</w:t>
      </w:r>
      <w:r>
        <w:rPr>
          <w:rFonts w:ascii="Arial" w:cs="Arial" w:eastAsia="Arial" w:hAnsi="Arial"/>
        </w:rPr>
        <w:t xml:space="preserve"> (Админ/Суперадмин):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 с раскрытием «Подробнее»; кнопка «Обновить» есть только здесь.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в шапке под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переходы из макетов должны работать: карточка ↔ разделы (с учётом раздела тендера), уведомление → карточка, календарь → карточка, дашборд → [Решить] нужен ли переход из виджетов в отфильтрованный список.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периода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Новых получено (по дате создания), В работе сейчас (текущее), Подано всего с разбивкой «первично · переторжки», Выиграно по дате итога (кол-во и сумма договоров)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по направлениям (тендер с несколькими направлениями учитывается в каждом)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с решением «отказ» по причинам + отдельный столбец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Воронка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график по месяцам/дням: Новых получено, Взято в работу, Подано первично, Переторжки, Выиграно; режимы Количество / Сумма / Конверсия; видимость линий настраивается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«Воронка»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 xml:space="preserve">Для приёмки дашборда после переноса данных: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4"/>
        <w:gridCol w:w="2954"/>
      </w:tblGrid>
      <w:tr>
        <w:trPr>
          <w:tblHeader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/ 5 / 42 / 2 305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116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входа; сессии с истечением; смена пароля при первом входе; блокировка после серии неверных попыток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загрузка до [Решить: лимит]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Выгрузка тендеров и отчёт ИИ — ответы специалиста (10.1): от них зависит, делать ли входной API уже в первой очереди.</w:t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Предпросмотр DOC/XLS, лимит размера файлов.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2026-09-18T15:10:00.336Z</dcterms:created>
  <dcterms:modified xsi:type="dcterms:W3CDTF">2026-09-18T15:10:00.337Z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