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rPr>
          <w:lang w:val="fr-FR"/>
        </w:rPr>
      </w:pPr>
      <w:bookmarkStart w:id="0" w:name="_Toc180745847"/>
      <w:bookmarkStart w:id="1" w:name="_Toc181172930"/>
      <w:r>
        <w:rPr>
          <w:lang w:val="fr-FR"/>
        </w:rPr>
        <w:t>Présentation de l’Ecole National d’Informatique</w:t>
      </w:r>
      <w:bookmarkEnd w:id="0"/>
      <w:bookmarkEnd w:id="1"/>
    </w:p>
    <w:p>
      <w:pPr>
        <w:pStyle w:val="style0"/>
        <w:ind w:firstLine="720"/>
        <w:rPr>
          <w:lang w:val="fr-FR"/>
        </w:rPr>
      </w:pPr>
      <w:r>
        <w:rPr>
          <w:lang w:val="fr-FR"/>
        </w:rPr>
        <w:t>Bienvenue à tous pour cette présentation de l’Ecole Nationale d’Informatique mieux connu comme l’ENI Madagascar. Un lieu d’apprentissage où l’on forme les ingénieur et expert en informatique de demain.</w:t>
      </w:r>
      <w:bookmarkStart w:id="2" w:name="_GoBack"/>
      <w:bookmarkEnd w:id="2"/>
    </w:p>
    <w:bookmarkStart w:id="3" w:name="_Toc180745848"/>
    <w:bookmarkStart w:id="4" w:name="_Toc181172931"/>
    <w:p>
      <w:pPr>
        <w:pStyle w:val="style3"/>
        <w:rPr>
          <w:lang w:val="fr-FR"/>
        </w:rPr>
      </w:pPr>
      <w:r>
        <w:rPr>
          <w:lang w:val="fr-FR"/>
        </w:rPr>
        <w:t>Informations générales</w:t>
      </w:r>
      <w:bookmarkEnd w:id="3"/>
      <w:bookmarkEnd w:id="4"/>
    </w:p>
    <w:p>
      <w:pPr>
        <w:pStyle w:val="style0"/>
        <w:ind w:firstLine="720"/>
        <w:rPr>
          <w:lang w:val="fr-FR"/>
        </w:rPr>
      </w:pPr>
      <w:r>
        <w:rPr>
          <w:lang w:val="fr-FR"/>
        </w:rPr>
        <w:t xml:space="preserve">L’ENI est un établissement d’enseignement supérieur rattaché académiquement et administrativement à l’Université de Fianarantsoa, dont le siège se trouve à </w:t>
      </w:r>
      <w:r>
        <w:rPr>
          <w:lang w:val="fr-FR"/>
        </w:rPr>
        <w:t>Tanambao</w:t>
      </w:r>
      <w:r>
        <w:rPr>
          <w:lang w:val="fr-FR"/>
        </w:rPr>
        <w:t xml:space="preserve"> – </w:t>
      </w:r>
      <w:r>
        <w:rPr>
          <w:lang w:val="fr-FR"/>
        </w:rPr>
        <w:t>Antaninarenina</w:t>
      </w:r>
      <w:r>
        <w:rPr>
          <w:lang w:val="fr-FR"/>
        </w:rPr>
        <w:t xml:space="preserve"> à Fianarantsoa.</w:t>
      </w:r>
    </w:p>
    <w:p>
      <w:pPr>
        <w:pStyle w:val="style0"/>
        <w:spacing w:after="0"/>
        <w:ind w:firstLine="720"/>
        <w:rPr>
          <w:lang w:val="fr-FR"/>
        </w:rPr>
      </w:pPr>
      <w:r>
        <w:rPr>
          <w:lang w:val="fr-FR"/>
        </w:rPr>
        <w:t xml:space="preserve">Les coordonnées pour la prise de contact avec l’Ecole sont les suivantes : </w:t>
      </w:r>
    </w:p>
    <w:p>
      <w:pPr>
        <w:pStyle w:val="style0"/>
        <w:spacing w:after="0"/>
        <w:rPr>
          <w:lang w:val="fr-FR"/>
        </w:rPr>
      </w:pPr>
      <w:r>
        <w:rPr>
          <w:lang w:val="fr-FR"/>
        </w:rPr>
        <w:tab/>
      </w:r>
      <w:r>
        <w:rPr>
          <w:lang w:val="fr-FR"/>
        </w:rPr>
        <w:tab/>
      </w:r>
      <w:r>
        <w:rPr>
          <w:lang w:val="fr-FR"/>
        </w:rPr>
        <w:t>Ecole Nationale d’Informatique (ENI)</w:t>
      </w:r>
    </w:p>
    <w:p>
      <w:pPr>
        <w:pStyle w:val="style0"/>
        <w:spacing w:after="0"/>
        <w:rPr>
          <w:lang w:val="fr-FR"/>
        </w:rPr>
      </w:pPr>
      <w:r>
        <w:rPr>
          <w:lang w:val="fr-FR"/>
        </w:rPr>
        <w:tab/>
      </w:r>
      <w:r>
        <w:rPr>
          <w:lang w:val="fr-FR"/>
        </w:rPr>
        <w:tab/>
      </w:r>
      <w:r>
        <w:rPr>
          <w:lang w:val="fr-FR"/>
        </w:rPr>
        <w:t>Antaninarenina</w:t>
      </w:r>
      <w:r>
        <w:rPr>
          <w:lang w:val="fr-FR"/>
        </w:rPr>
        <w:t xml:space="preserve"> </w:t>
      </w:r>
      <w:r>
        <w:rPr>
          <w:lang w:val="fr-FR"/>
        </w:rPr>
        <w:t>Tanambao</w:t>
      </w:r>
    </w:p>
    <w:p>
      <w:pPr>
        <w:pStyle w:val="style0"/>
        <w:spacing w:after="0"/>
        <w:rPr>
          <w:lang w:val="fr-FR"/>
        </w:rPr>
      </w:pPr>
      <w:r>
        <w:rPr>
          <w:lang w:val="fr-FR"/>
        </w:rPr>
        <w:tab/>
      </w:r>
      <w:r>
        <w:rPr>
          <w:lang w:val="fr-FR"/>
        </w:rPr>
        <w:tab/>
      </w:r>
      <w:r>
        <w:rPr>
          <w:lang w:val="fr-FR"/>
        </w:rPr>
        <w:t>BP 1487, 301 Fianarantsoa</w:t>
      </w:r>
    </w:p>
    <w:p>
      <w:pPr>
        <w:pStyle w:val="style0"/>
        <w:spacing w:after="0"/>
        <w:rPr>
          <w:lang w:val="fr-FR"/>
        </w:rPr>
      </w:pPr>
      <w:r>
        <w:rPr>
          <w:lang w:val="fr-FR"/>
        </w:rPr>
        <w:tab/>
      </w:r>
      <w:r>
        <w:rPr>
          <w:lang w:val="fr-FR"/>
        </w:rPr>
        <w:tab/>
      </w:r>
      <w:r>
        <w:rPr>
          <w:lang w:val="fr-FR"/>
        </w:rPr>
        <w:t>Tel :</w:t>
      </w:r>
      <w:r>
        <w:rPr>
          <w:lang w:val="fr-FR"/>
        </w:rPr>
        <w:tab/>
      </w:r>
      <w:r>
        <w:rPr>
          <w:lang w:val="fr-FR"/>
        </w:rPr>
        <w:tab/>
      </w:r>
      <w:r>
        <w:rPr>
          <w:lang w:val="fr-FR"/>
        </w:rPr>
        <w:t>020 75 508 01</w:t>
      </w:r>
    </w:p>
    <w:p>
      <w:pPr>
        <w:pStyle w:val="style0"/>
        <w:spacing w:after="0"/>
        <w:ind w:left="2160" w:firstLine="720"/>
        <w:rPr>
          <w:lang w:val="fr-FR"/>
        </w:rPr>
      </w:pPr>
      <w:r>
        <w:rPr>
          <w:lang w:val="fr-FR"/>
        </w:rPr>
        <w:t>+261 34 05 733 36</w:t>
      </w:r>
    </w:p>
    <w:p>
      <w:pPr>
        <w:pStyle w:val="style0"/>
        <w:spacing w:after="0"/>
        <w:rPr>
          <w:lang w:val="fr-FR"/>
        </w:rPr>
      </w:pPr>
      <w:r>
        <w:rPr>
          <w:lang w:val="fr-FR"/>
        </w:rPr>
        <w:tab/>
      </w:r>
      <w:r>
        <w:rPr>
          <w:lang w:val="fr-FR"/>
        </w:rPr>
        <w:tab/>
      </w:r>
      <w:r>
        <w:rPr>
          <w:lang w:val="fr-FR"/>
        </w:rPr>
        <w:tab/>
      </w:r>
      <w:r>
        <w:rPr>
          <w:lang w:val="fr-FR"/>
        </w:rPr>
        <w:tab/>
      </w:r>
      <w:r>
        <w:rPr>
          <w:lang w:val="fr-FR"/>
        </w:rPr>
        <w:t>+261 33 42 302 02</w:t>
      </w:r>
    </w:p>
    <w:p>
      <w:pPr>
        <w:pStyle w:val="style0"/>
        <w:spacing w:after="0"/>
        <w:rPr>
          <w:lang w:val="fr-FR"/>
        </w:rPr>
      </w:pPr>
      <w:r>
        <w:rPr>
          <w:lang w:val="fr-FR"/>
        </w:rPr>
        <w:tab/>
      </w:r>
      <w:r>
        <w:rPr>
          <w:lang w:val="fr-FR"/>
        </w:rPr>
        <w:tab/>
      </w:r>
      <w:r>
        <w:rPr>
          <w:lang w:val="fr-FR"/>
        </w:rPr>
        <w:t>Email :</w:t>
      </w:r>
      <w:r>
        <w:rPr>
          <w:lang w:val="fr-FR"/>
        </w:rPr>
        <w:tab/>
      </w:r>
      <w:r>
        <w:rPr>
          <w:lang w:val="fr-FR"/>
        </w:rPr>
        <w:tab/>
      </w:r>
      <w:r>
        <w:rPr/>
        <w:fldChar w:fldCharType="begin"/>
      </w:r>
      <w:r>
        <w:instrText xml:space="preserve"> HYPERLINK "mailto:eni@eni-univ-fianar.mg" </w:instrText>
      </w:r>
      <w:r>
        <w:rPr/>
        <w:fldChar w:fldCharType="separate"/>
      </w:r>
      <w:r>
        <w:rPr>
          <w:rStyle w:val="style85"/>
          <w:lang w:val="fr-FR"/>
        </w:rPr>
        <w:t>eni@eni-univ-fianar.mg</w:t>
      </w:r>
      <w:r>
        <w:rPr/>
        <w:fldChar w:fldCharType="end"/>
      </w:r>
    </w:p>
    <w:p>
      <w:pPr>
        <w:pStyle w:val="style0"/>
        <w:spacing w:after="0"/>
        <w:rPr>
          <w:lang w:val="fr-FR"/>
        </w:rPr>
      </w:pPr>
      <w:r>
        <w:rPr>
          <w:lang w:val="fr-FR"/>
        </w:rPr>
        <w:tab/>
      </w:r>
      <w:r>
        <w:rPr>
          <w:lang w:val="fr-FR"/>
        </w:rPr>
        <w:tab/>
      </w:r>
      <w:r>
        <w:rPr>
          <w:lang w:val="fr-FR"/>
        </w:rPr>
        <w:t>Web :</w:t>
      </w:r>
      <w:r>
        <w:rPr>
          <w:lang w:val="fr-FR"/>
        </w:rPr>
        <w:tab/>
      </w:r>
      <w:r>
        <w:rPr>
          <w:lang w:val="fr-FR"/>
        </w:rPr>
        <w:tab/>
      </w:r>
      <w:r>
        <w:rPr/>
        <w:fldChar w:fldCharType="begin"/>
      </w:r>
      <w:r>
        <w:instrText xml:space="preserve"> HYPERLINK "http://www.eni-univ-fianar.mg" </w:instrText>
      </w:r>
      <w:r>
        <w:rPr/>
        <w:fldChar w:fldCharType="separate"/>
      </w:r>
      <w:r>
        <w:rPr>
          <w:rStyle w:val="style85"/>
          <w:lang w:val="fr-FR"/>
        </w:rPr>
        <w:t>www.eni-univ-fianar.mg</w:t>
      </w:r>
      <w:r>
        <w:rPr/>
        <w:fldChar w:fldCharType="end"/>
      </w:r>
    </w:p>
    <w:p>
      <w:pPr>
        <w:pStyle w:val="style0"/>
        <w:spacing w:after="0"/>
        <w:rPr>
          <w:lang w:val="fr-FR"/>
        </w:rPr>
      </w:pPr>
      <w:r>
        <w:rPr>
          <w:lang w:val="fr-FR"/>
        </w:rPr>
        <w:tab/>
      </w:r>
      <w:r>
        <w:rPr>
          <w:lang w:val="fr-FR"/>
        </w:rPr>
        <w:tab/>
      </w:r>
      <w:r>
        <w:rPr>
          <w:lang w:val="fr-FR"/>
        </w:rPr>
        <w:t>Facebook :</w:t>
      </w:r>
      <w:r>
        <w:rPr>
          <w:lang w:val="fr-FR"/>
        </w:rPr>
        <w:tab/>
      </w:r>
      <w:r>
        <w:rPr>
          <w:lang w:val="fr-FR"/>
        </w:rPr>
        <w:t>ENI – Ecole nationale d’Informatique</w:t>
      </w:r>
    </w:p>
    <w:p>
      <w:pPr>
        <w:pStyle w:val="style0"/>
        <w:rPr>
          <w:lang w:val="fr-FR"/>
        </w:rPr>
      </w:pPr>
      <w:r>
        <w:rPr>
          <w:lang w:val="fr-FR"/>
        </w:rPr>
        <w:tab/>
      </w:r>
      <w:r>
        <w:rPr>
          <w:lang w:val="fr-FR"/>
        </w:rPr>
        <w:tab/>
      </w:r>
      <w:r>
        <w:rPr>
          <w:lang w:val="fr-FR"/>
        </w:rPr>
        <w:tab/>
      </w:r>
      <w:r>
        <w:rPr>
          <w:lang w:val="fr-FR"/>
        </w:rPr>
        <w:tab/>
      </w:r>
      <w:r>
        <w:rPr>
          <w:lang w:val="fr-FR"/>
        </w:rPr>
        <w:t xml:space="preserve">ENI </w:t>
      </w:r>
      <w:r>
        <w:rPr>
          <w:lang w:val="fr-FR"/>
        </w:rPr>
        <w:t>Ofisialy</w:t>
      </w:r>
    </w:p>
    <w:bookmarkStart w:id="5" w:name="_Toc180745849"/>
    <w:bookmarkStart w:id="6" w:name="_Toc181172932"/>
    <w:p>
      <w:pPr>
        <w:pStyle w:val="style3"/>
        <w:rPr>
          <w:lang w:val="fr-FR"/>
        </w:rPr>
      </w:pPr>
      <w:r>
        <w:rPr>
          <w:lang w:val="fr-FR"/>
        </w:rPr>
        <w:t>Missions et historiques</w:t>
      </w:r>
      <w:bookmarkEnd w:id="5"/>
      <w:bookmarkEnd w:id="6"/>
    </w:p>
    <w:p>
      <w:pPr>
        <w:pStyle w:val="style0"/>
        <w:ind w:firstLine="720"/>
        <w:rPr>
          <w:lang w:val="fr-FR"/>
        </w:rPr>
      </w:pPr>
      <w:r>
        <w:rPr>
          <w:lang w:val="fr-FR"/>
        </w:rPr>
        <w:t>L’ENI s’impose dans le paysage socio-éducatif malagasy comme un acteur clé de la diffusion et la vulgarisation des connaissances et les technologies informatiques. Elle est aujourd’hui reconnue comme un centre d’excellence et une pépinière de l’élite dans le domaine de l’informatique à Madagascar.</w:t>
      </w:r>
    </w:p>
    <w:p>
      <w:pPr>
        <w:pStyle w:val="style0"/>
        <w:ind w:firstLine="720"/>
        <w:rPr>
          <w:lang w:val="fr-FR"/>
        </w:rPr>
      </w:pPr>
      <w:r>
        <w:rPr>
          <w:lang w:val="fr-FR"/>
        </w:rPr>
        <w:t>L’ENI a vu le jour au sein du Centre Universitaire Régional (CUR) de Fianarantsoa, et a été officiellement créée par le décret N°83-185 du 24 mai 1983. Il s’agit d’un établissement universitaire professionnalisé à l’échelle nationale, conçu pour former des techniciens et des ingénieurs hautement qualifiés, capables de répondre aux besoins croissants en matière d’informatisation des entreprises et organismes malagasy.</w:t>
      </w:r>
    </w:p>
    <w:p>
      <w:pPr>
        <w:pStyle w:val="style0"/>
        <w:ind w:firstLine="720"/>
        <w:rPr>
          <w:lang w:val="fr-FR"/>
        </w:rPr>
      </w:pPr>
      <w:r>
        <w:rPr>
          <w:lang w:val="fr-FR"/>
        </w:rPr>
        <w:t>Sa mission principale est de former des ingénieurs compétents et opérationnels à différents niveaux en offrant aux étudiants des bases solides en informatique, en transmettant le savoir-faire requis avec une approche professionnalisante des formations pour répondre aux exigences du marché du travail. L’Ecole forme aussi ses étudiants à la recherche dans les domaines des Technologies de l’Information et de la Communication (TIC).</w:t>
      </w:r>
    </w:p>
    <w:p>
      <w:pPr>
        <w:pStyle w:val="style0"/>
        <w:ind w:firstLine="720"/>
        <w:rPr>
          <w:lang w:val="fr-FR"/>
        </w:rPr>
      </w:pPr>
      <w:r>
        <w:rPr>
          <w:lang w:val="fr-FR"/>
        </w:rPr>
        <w:t xml:space="preserve">Malgré son implantation dans un pays en développement et dans un Province (ou </w:t>
      </w:r>
      <w:r>
        <w:rPr>
          <w:lang w:val="fr-FR"/>
        </w:rPr>
        <w:t>Faritany</w:t>
      </w:r>
      <w:r>
        <w:rPr>
          <w:lang w:val="fr-FR"/>
        </w:rPr>
        <w:t>)</w:t>
      </w:r>
      <w:r>
        <w:rPr>
          <w:lang w:val="fr-FR"/>
        </w:rPr>
        <w:t xml:space="preserve"> </w:t>
      </w:r>
      <w:r>
        <w:rPr>
          <w:lang w:val="fr-FR"/>
        </w:rPr>
        <w:t>économiquement et industriellement peu développé, l’ENI a su former des spécialistes informaticiens plus que compétents, très recherches dans le marché de l’emploi par les entreprises, les sociétés et organisations publiques et privées.</w:t>
      </w:r>
    </w:p>
    <w:p>
      <w:pPr>
        <w:pStyle w:val="style0"/>
        <w:ind w:firstLine="720"/>
        <w:rPr>
          <w:lang w:val="fr-FR"/>
        </w:rPr>
      </w:pPr>
      <w:r>
        <w:rPr>
          <w:lang w:val="fr-FR"/>
        </w:rPr>
        <w:t xml:space="preserve">La filière de formation d’Analystes Programmeurs, créée en 1983, a été suspendue en 1996, tandis que la filière de formation d’ingénieurs a démarré en 1986. Le Programme de Renforcement de l’Enseignement Supérieur (PRESUP) a permis l’ouverture en 1986 de la filière de formation des Techniciens Supérieurs en Maintenance des Systèmes Informatiques, </w:t>
      </w:r>
      <w:r>
        <w:rPr>
          <w:lang w:val="fr-FR"/>
        </w:rPr>
        <w:t xml:space="preserve">avec le soutien matériel et financier de la Mission Français de coopération auprès de l’Ambassade de France à Madagascar. En 2002-2003, un partenariat avec CISCO SYSTEM et l’Ecole Supérieure Polytechnique d’Antananarivo [ESPA) a permis la mise en place d’une formation pour l’obtention de la certification CCNA et/ou NETWORK+ dans le cadre de la « CISCO Networking </w:t>
      </w:r>
      <w:r>
        <w:rPr>
          <w:lang w:val="fr-FR"/>
        </w:rPr>
        <w:t>Academy</w:t>
      </w:r>
      <w:r>
        <w:rPr>
          <w:lang w:val="fr-FR"/>
        </w:rPr>
        <w:t> », bien que cette formation ait été de courte durée.</w:t>
      </w:r>
    </w:p>
    <w:p>
      <w:pPr>
        <w:pStyle w:val="style0"/>
        <w:spacing w:after="0"/>
        <w:ind w:firstLine="720"/>
        <w:rPr>
          <w:lang w:val="fr-FR"/>
        </w:rPr>
      </w:pPr>
      <w:r>
        <w:rPr>
          <w:lang w:val="fr-FR"/>
        </w:rPr>
        <w:t>Les stages en entreprise, éléments clés de la professionnalisation des formations, renforcent les perspectives d’emploi pour les diplômés de l’ENI, notamment dans les spécialités suivantes :</w:t>
      </w:r>
    </w:p>
    <w:p>
      <w:pPr>
        <w:pStyle w:val="style179"/>
        <w:numPr>
          <w:ilvl w:val="0"/>
          <w:numId w:val="3"/>
        </w:numPr>
        <w:rPr>
          <w:lang w:val="fr-FR"/>
        </w:rPr>
      </w:pPr>
      <w:r>
        <w:rPr>
          <w:lang w:val="fr-FR"/>
        </w:rPr>
        <w:t>Génie logiciel et Base de Données (GBD) ;</w:t>
      </w:r>
    </w:p>
    <w:p>
      <w:pPr>
        <w:pStyle w:val="style179"/>
        <w:numPr>
          <w:ilvl w:val="0"/>
          <w:numId w:val="3"/>
        </w:numPr>
        <w:rPr>
          <w:lang w:val="fr-FR"/>
        </w:rPr>
      </w:pPr>
      <w:r>
        <w:rPr>
          <w:lang w:val="fr-FR"/>
        </w:rPr>
        <w:t>Administration des Systèmes et Réseaux (ASR).</w:t>
      </w:r>
    </w:p>
    <w:p>
      <w:pPr>
        <w:pStyle w:val="style0"/>
        <w:ind w:firstLine="720"/>
        <w:rPr>
          <w:lang w:val="fr-FR"/>
        </w:rPr>
      </w:pPr>
      <w:r>
        <w:rPr>
          <w:lang w:val="fr-FR"/>
        </w:rPr>
        <w:t>Ces options ont été introduites dans le cadre du passage au système LMD. Cependant, la filière Techniciens Supérieurs en Maintenance des Systèmes Informatiques a été suspendue en 2009.</w:t>
      </w:r>
    </w:p>
    <w:p>
      <w:pPr>
        <w:pStyle w:val="style0"/>
        <w:ind w:firstLine="720"/>
        <w:rPr>
          <w:lang w:val="fr-FR"/>
        </w:rPr>
      </w:pPr>
      <w:r>
        <w:rPr>
          <w:lang w:val="fr-FR"/>
        </w:rPr>
        <w:t>Pour pallier les limites d’accueil liées au manque d’infrastructures, un système de « Formation Hybride » a été mis en place à partir de l’année 2010. Ce système combine l’enseignement en semi-présentiel et à distance, avec l’usage de la visioconférence, et a été déployé à Fianarantsoa ainsi qu’à l’Université de Toliara.</w:t>
      </w:r>
    </w:p>
    <w:bookmarkStart w:id="7" w:name="_Toc180745850"/>
    <w:bookmarkStart w:id="8" w:name="_Toc181172933"/>
    <w:p>
      <w:pPr>
        <w:pStyle w:val="style3"/>
        <w:rPr>
          <w:lang w:val="fr-FR"/>
        </w:rPr>
      </w:pPr>
      <w:r>
        <w:rPr>
          <w:lang w:val="fr-FR"/>
        </w:rPr>
        <w:t>Organigramme institutionnel de l’ENI</w:t>
      </w:r>
      <w:bookmarkEnd w:id="7"/>
      <w:bookmarkEnd w:id="8"/>
    </w:p>
    <w:p>
      <w:pPr>
        <w:pStyle w:val="style0"/>
        <w:ind w:firstLine="720"/>
        <w:rPr>
          <w:lang w:val="fr-FR"/>
        </w:rPr>
      </w:pPr>
      <w:r>
        <w:rPr>
          <w:lang w:val="fr-FR"/>
        </w:rPr>
        <w:t xml:space="preserve">Cet organigramme de l'École, basé sur les dispositions du décret n° 83-185 du 24 mai 1983, place l'établissement sous la tutelle académique et administrative de l'Université de Fianarantsoa. L'École est dirigée par un Directeur élu par les enseignants-chercheurs permanents et nommé par décret </w:t>
      </w:r>
      <w:r>
        <w:rPr>
          <w:lang w:val="fr-FR"/>
        </w:rPr>
        <w:t xml:space="preserve">pris </w:t>
      </w:r>
      <w:r>
        <w:rPr>
          <w:lang w:val="fr-FR"/>
        </w:rPr>
        <w:t>en Conseil des Ministres, pour un mandat de trois ans.</w:t>
      </w:r>
    </w:p>
    <w:p>
      <w:pPr>
        <w:pStyle w:val="style0"/>
        <w:ind w:firstLine="720"/>
        <w:rPr>
          <w:lang w:val="fr-FR"/>
        </w:rPr>
      </w:pPr>
      <w:r>
        <w:rPr>
          <w:lang w:val="fr-FR"/>
        </w:rPr>
        <w:t>Le Conseil de l'École constitue l'organe délibérant</w:t>
      </w:r>
      <w:r>
        <w:rPr>
          <w:lang w:val="fr-FR"/>
        </w:rPr>
        <w:t xml:space="preserve"> de l’Ecole.</w:t>
      </w:r>
    </w:p>
    <w:p>
      <w:pPr>
        <w:pStyle w:val="style0"/>
        <w:ind w:firstLine="720"/>
        <w:rPr>
          <w:lang w:val="fr-FR"/>
        </w:rPr>
      </w:pPr>
      <w:r>
        <w:rPr>
          <w:lang w:val="fr-FR"/>
        </w:rPr>
        <w:t>T</w:t>
      </w:r>
      <w:r>
        <w:rPr>
          <w:lang w:val="fr-FR"/>
        </w:rPr>
        <w:t>andis que le Collège des Enseignants, qui r</w:t>
      </w:r>
      <w:r>
        <w:rPr>
          <w:lang w:val="fr-FR"/>
        </w:rPr>
        <w:t>éunit</w:t>
      </w:r>
      <w:r>
        <w:rPr>
          <w:lang w:val="fr-FR"/>
        </w:rPr>
        <w:t xml:space="preserve"> l'ensemble des enseignants-chercheurs, est chargé de la gestion pédagogique</w:t>
      </w:r>
      <w:r>
        <w:rPr>
          <w:lang w:val="fr-FR"/>
        </w:rPr>
        <w:t xml:space="preserve"> des enseignements</w:t>
      </w:r>
      <w:r>
        <w:rPr>
          <w:lang w:val="fr-FR"/>
        </w:rPr>
        <w:t xml:space="preserve">. Ce dernier propose et coordonne les programmes pédagogiques, en veillant à l'organisation et à la qualité des enseignements. </w:t>
      </w:r>
    </w:p>
    <w:p>
      <w:pPr>
        <w:pStyle w:val="style0"/>
        <w:ind w:firstLine="720"/>
        <w:rPr>
          <w:lang w:val="fr-FR"/>
        </w:rPr>
      </w:pPr>
      <w:r>
        <w:rPr>
          <w:lang w:val="fr-FR"/>
        </w:rPr>
        <w:t xml:space="preserve">Le Conseil Scientifique, de son côté, oriente les choix pédagogiques et scientifiques de l'École. Il veille à ce que les formations proposées répondent aux exigences du marché du travail et aux besoins des entreprises, tout en coordonnant les programmes de recherche à </w:t>
      </w:r>
      <w:r>
        <w:rPr>
          <w:lang w:val="fr-FR"/>
        </w:rPr>
        <w:t>réalis</w:t>
      </w:r>
      <w:r>
        <w:rPr>
          <w:lang w:val="fr-FR"/>
        </w:rPr>
        <w:t xml:space="preserve">er au sein de l'Établissement. </w:t>
      </w:r>
    </w:p>
    <w:p>
      <w:pPr>
        <w:pStyle w:val="style0"/>
        <w:ind w:firstLine="720"/>
        <w:rPr>
          <w:lang w:val="fr-FR"/>
        </w:rPr>
      </w:pPr>
      <w:r>
        <w:rPr>
          <w:lang w:val="fr-FR"/>
        </w:rPr>
        <w:t xml:space="preserve">Le Secrétariat Principal assure la coordination des services administratifs tels que la Scolarité, la Comptabilité et l'Intendance. </w:t>
      </w:r>
    </w:p>
    <w:p>
      <w:pPr>
        <w:pStyle w:val="style0"/>
        <w:ind w:firstLine="720"/>
        <w:rPr>
          <w:lang w:val="fr-FR"/>
        </w:rPr>
      </w:pPr>
      <w:r>
        <w:rPr>
          <w:lang w:val="fr-FR"/>
        </w:rPr>
        <w:t>Conformément aux textes en vigueur dans les Établissements d'Enseignement Supérieur malgaches, désormais structurés selon le système LMD, les Départements de Formation pédagogique ont été remplacés par des Mentions et des parcours. Les chefs de département ont ainsi été remplacés par des responsables de mentions et de parcours</w:t>
      </w:r>
      <w:r>
        <w:rPr>
          <w:lang w:val="fr-FR"/>
        </w:rPr>
        <w:t>.</w:t>
      </w:r>
    </w:p>
    <w:p>
      <w:pPr>
        <w:pStyle w:val="style0"/>
        <w:ind w:firstLine="720"/>
        <w:rPr>
          <w:lang w:val="fr-FR"/>
        </w:rPr>
      </w:pPr>
      <w:r>
        <w:rPr>
          <w:lang w:val="fr-FR"/>
        </w:rPr>
        <w:t>L’organigramme de l’Ecole Nationale d’Informatique est présenté par la Figure 1.</w:t>
      </w:r>
    </w:p>
    <w:p>
      <w:pPr>
        <w:pStyle w:val="style0"/>
        <w:rPr>
          <w:lang w:val="fr-FR"/>
        </w:rPr>
      </w:pPr>
      <w:r>
        <w:rPr>
          <w:noProof/>
        </w:rPr>
        <mc:AlternateContent>
          <mc:Choice Requires="wps">
            <w:drawing>
              <wp:anchor distT="0" distB="0" distL="0" distR="0" simplePos="false" relativeHeight="3" behindDoc="false" locked="false" layoutInCell="true" allowOverlap="true">
                <wp:simplePos x="0" y="0"/>
                <wp:positionH relativeFrom="column">
                  <wp:posOffset>-34502</wp:posOffset>
                </wp:positionH>
                <wp:positionV relativeFrom="paragraph">
                  <wp:posOffset>3316394</wp:posOffset>
                </wp:positionV>
                <wp:extent cx="6517005" cy="634"/>
                <wp:effectExtent l="0" t="0" r="17145" b="8255"/>
                <wp:wrapTopAndBottom/>
                <wp:docPr id="1026" name="Zone de text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17005" cy="634"/>
                        </a:xfrm>
                        <a:prstGeom prst="rect"/>
                        <a:ln>
                          <a:noFill/>
                        </a:ln>
                      </wps:spPr>
                      <wps:txbx id="1026">
                        <w:txbxContent>
                          <w:p>
                            <w:pPr>
                              <w:pStyle w:val="style34"/>
                              <w:rPr>
                                <w:noProof/>
                                <w:sz w:val="24"/>
                                <w:lang w:val="fr-FR"/>
                              </w:rPr>
                            </w:pPr>
                            <w:bookmarkStart w:id="9" w:name="_Toc181200452"/>
                            <w:r>
                              <w:t xml:space="preserve">Figure </w:t>
                            </w:r>
                            <w:r>
                              <w:rPr/>
                              <w:fldChar w:fldCharType="begin"/>
                            </w:r>
                            <w:r>
                              <w:instrText xml:space="preserve"> SEQ Figure \* ARABIC </w:instrText>
                            </w:r>
                            <w:r>
                              <w:rPr/>
                              <w:fldChar w:fldCharType="separate"/>
                            </w:r>
                            <w:r>
                              <w:rPr>
                                <w:noProof/>
                              </w:rPr>
                              <w:t>1</w:t>
                            </w:r>
                            <w:r>
                              <w:rPr/>
                              <w:fldChar w:fldCharType="end"/>
                            </w:r>
                            <w:r>
                              <w:rPr>
                                <w:lang w:val="fr-FR"/>
                              </w:rPr>
                              <w:t>: Organigramme de l'ENI</w:t>
                            </w:r>
                            <w:bookmarkEnd w:id="9"/>
                          </w:p>
                        </w:txbxContent>
                      </wps:txbx>
                      <wps:bodyPr lIns="0" rIns="0" tIns="0" bIns="0" vert="horz" anchor="t" wrap="square">
                        <a:prstTxWarp prst="textNoShape"/>
                        <a:spAutoFit/>
                      </wps:bodyPr>
                    </wps:wsp>
                  </a:graphicData>
                </a:graphic>
              </wp:anchor>
            </w:drawing>
          </mc:Choice>
          <mc:Fallback>
            <w:pict>
              <v:rect id="1026" filled="f" stroked="f" style="position:absolute;margin-left:-2.72pt;margin-top:261.13pt;width:513.15pt;height:0.05pt;z-index:3;mso-position-horizontal-relative:text;mso-position-vertical-relative:text;mso-width-relative:page;mso-height-relative:page;mso-wrap-distance-left:0.0pt;mso-wrap-distance-right:0.0pt;visibility:visible;">
                <v:stroke on="f"/>
                <w10:wrap type="topAndBottom"/>
                <v:fill/>
                <v:textbox inset="0.0pt,0.0pt,0.0pt,0.0pt" style="mso-fit-shape-to-text:true;">
                  <w:txbxContent>
                    <w:p>
                      <w:pPr>
                        <w:pStyle w:val="style34"/>
                        <w:rPr>
                          <w:noProof/>
                          <w:sz w:val="24"/>
                          <w:lang w:val="fr-FR"/>
                        </w:rPr>
                      </w:pPr>
                      <w:r>
                        <w:t xml:space="preserve">Figure </w:t>
                      </w:r>
                      <w:r>
                        <w:rPr/>
                        <w:fldChar w:fldCharType="begin"/>
                      </w:r>
                      <w:r>
                        <w:instrText xml:space="preserve"> SEQ Figure \* ARABIC </w:instrText>
                      </w:r>
                      <w:r>
                        <w:rPr/>
                        <w:fldChar w:fldCharType="separate"/>
                      </w:r>
                      <w:r>
                        <w:rPr>
                          <w:noProof/>
                        </w:rPr>
                        <w:t>1</w:t>
                      </w:r>
                      <w:r>
                        <w:rPr/>
                        <w:fldChar w:fldCharType="end"/>
                      </w:r>
                      <w:r>
                        <w:rPr>
                          <w:lang w:val="fr-FR"/>
                        </w:rPr>
                        <w:t>: Organigramme de l'ENI</w:t>
                      </w:r>
                    </w:p>
                  </w:txbxContent>
                </v:textbox>
              </v:rect>
            </w:pict>
          </mc:Fallback>
        </mc:AlternateContent>
      </w:r>
      <w:r>
        <w:rPr>
          <w:noProof/>
          <w:lang w:val="fr-FR"/>
        </w:rPr>
        <w:drawing>
          <wp:anchor distT="0" distB="0" distL="0" distR="0" simplePos="false" relativeHeight="2" behindDoc="false" locked="false" layoutInCell="true" allowOverlap="true">
            <wp:simplePos x="0" y="0"/>
            <wp:positionH relativeFrom="column">
              <wp:posOffset>-195580</wp:posOffset>
            </wp:positionH>
            <wp:positionV relativeFrom="paragraph">
              <wp:posOffset>0</wp:posOffset>
            </wp:positionV>
            <wp:extent cx="6517005" cy="3505200"/>
            <wp:effectExtent l="0" t="0" r="0" b="0"/>
            <wp:wrapTopAndBottom/>
            <wp:docPr id="1027"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2" cstate="print"/>
                    <a:srcRect l="0" t="0" r="0" b="0"/>
                    <a:stretch/>
                  </pic:blipFill>
                  <pic:spPr>
                    <a:xfrm rot="0">
                      <a:off x="0" y="0"/>
                      <a:ext cx="6517005" cy="3505200"/>
                    </a:xfrm>
                    <a:prstGeom prst="rect"/>
                  </pic:spPr>
                </pic:pic>
              </a:graphicData>
            </a:graphic>
            <wp14:sizeRelH relativeFrom="margin">
              <wp14:pctWidth>0</wp14:pctWidth>
            </wp14:sizeRelH>
            <wp14:sizeRelV relativeFrom="margin">
              <wp14:pctHeight>0</wp14:pctHeight>
            </wp14:sizeRelV>
          </wp:anchor>
        </w:drawing>
      </w:r>
    </w:p>
    <w:bookmarkStart w:id="10" w:name="_Toc180745851"/>
    <w:bookmarkStart w:id="11" w:name="_Toc181172934"/>
    <w:p>
      <w:pPr>
        <w:pStyle w:val="style3"/>
        <w:rPr>
          <w:lang w:val="fr-FR"/>
        </w:rPr>
      </w:pPr>
      <w:r>
        <w:rPr>
          <w:lang w:val="fr-FR"/>
        </w:rPr>
        <w:t>Domaines et Spécialisation</w:t>
      </w:r>
      <w:bookmarkEnd w:id="10"/>
      <w:bookmarkEnd w:id="11"/>
    </w:p>
    <w:p>
      <w:pPr>
        <w:pStyle w:val="style0"/>
        <w:spacing w:after="0"/>
        <w:ind w:firstLine="720"/>
        <w:rPr>
          <w:lang w:val="fr-FR"/>
        </w:rPr>
      </w:pPr>
      <w:r>
        <w:rPr>
          <w:lang w:val="fr-FR"/>
        </w:rPr>
        <w:t>Les activités de formation et de recherche organisées à l’Ecole Nationale d’Informatique (ENI) couvrent les domaines suivants :</w:t>
      </w:r>
    </w:p>
    <w:p>
      <w:pPr>
        <w:pStyle w:val="style179"/>
        <w:numPr>
          <w:ilvl w:val="0"/>
          <w:numId w:val="4"/>
        </w:numPr>
        <w:spacing w:lineRule="auto" w:line="276"/>
        <w:rPr>
          <w:lang w:val="fr-FR"/>
        </w:rPr>
      </w:pPr>
      <w:r>
        <w:rPr>
          <w:lang w:val="fr-FR"/>
        </w:rPr>
        <w:t>Génie logiciel et Base de Données (GBD) ;</w:t>
      </w:r>
    </w:p>
    <w:p>
      <w:pPr>
        <w:pStyle w:val="style179"/>
        <w:numPr>
          <w:ilvl w:val="0"/>
          <w:numId w:val="4"/>
        </w:numPr>
        <w:spacing w:lineRule="auto" w:line="276"/>
        <w:rPr>
          <w:lang w:val="fr-FR"/>
        </w:rPr>
      </w:pPr>
      <w:r>
        <w:rPr>
          <w:lang w:val="fr-FR"/>
        </w:rPr>
        <w:t>Administration des Systèmes et Réseaux (ASR) ;</w:t>
      </w:r>
    </w:p>
    <w:p>
      <w:pPr>
        <w:pStyle w:val="style179"/>
        <w:numPr>
          <w:ilvl w:val="0"/>
          <w:numId w:val="4"/>
        </w:numPr>
        <w:spacing w:lineRule="auto" w:line="276"/>
        <w:rPr>
          <w:lang w:val="fr-FR"/>
        </w:rPr>
      </w:pPr>
      <w:r>
        <w:rPr>
          <w:lang w:val="fr-FR"/>
        </w:rPr>
        <w:t>Informatique Générale (IG) ;</w:t>
      </w:r>
      <w:r>
        <w:rPr>
          <w:lang w:val="fr-FR"/>
        </w:rPr>
        <w:t xml:space="preserve"> </w:t>
      </w:r>
    </w:p>
    <w:p>
      <w:pPr>
        <w:pStyle w:val="style179"/>
        <w:numPr>
          <w:ilvl w:val="0"/>
          <w:numId w:val="4"/>
        </w:numPr>
        <w:spacing w:lineRule="auto" w:line="276"/>
        <w:rPr>
          <w:lang w:val="fr-FR"/>
        </w:rPr>
      </w:pPr>
      <w:r>
        <w:rPr>
          <w:lang w:val="fr-FR"/>
        </w:rPr>
        <w:t>Gouvernance et Ingénierie de Données</w:t>
      </w:r>
      <w:r>
        <w:rPr>
          <w:lang w:val="fr-FR"/>
        </w:rPr>
        <w:t> (GID) ;</w:t>
      </w:r>
    </w:p>
    <w:p>
      <w:pPr>
        <w:pStyle w:val="style179"/>
        <w:numPr>
          <w:ilvl w:val="0"/>
          <w:numId w:val="4"/>
        </w:numPr>
        <w:spacing w:lineRule="auto" w:line="276"/>
        <w:rPr>
          <w:lang w:val="fr-FR"/>
        </w:rPr>
      </w:pPr>
      <w:r>
        <w:rPr>
          <w:lang w:val="fr-FR"/>
        </w:rPr>
        <w:t>Objets Connectés</w:t>
      </w:r>
      <w:r>
        <w:rPr>
          <w:lang w:val="fr-FR"/>
        </w:rPr>
        <w:t xml:space="preserve"> </w:t>
      </w:r>
      <w:r>
        <w:rPr>
          <w:lang w:val="fr-FR"/>
        </w:rPr>
        <w:t>et</w:t>
      </w:r>
      <w:r>
        <w:rPr>
          <w:lang w:val="fr-FR"/>
        </w:rPr>
        <w:t xml:space="preserve"> </w:t>
      </w:r>
      <w:r>
        <w:rPr>
          <w:lang w:val="fr-FR"/>
        </w:rPr>
        <w:t>Cybersécurités</w:t>
      </w:r>
      <w:r>
        <w:rPr>
          <w:lang w:val="fr-FR"/>
        </w:rPr>
        <w:t xml:space="preserve"> (OCC) ;</w:t>
      </w:r>
    </w:p>
    <w:p>
      <w:pPr>
        <w:pStyle w:val="style179"/>
        <w:numPr>
          <w:ilvl w:val="0"/>
          <w:numId w:val="4"/>
        </w:numPr>
        <w:spacing w:lineRule="auto" w:line="276"/>
        <w:rPr>
          <w:lang w:val="fr-FR"/>
        </w:rPr>
      </w:pPr>
      <w:r>
        <w:rPr>
          <w:lang w:val="fr-FR"/>
        </w:rPr>
        <w:t>Modélisation informatique et mathématique des Systèmes complexes.</w:t>
      </w:r>
    </w:p>
    <w:p>
      <w:pPr>
        <w:pStyle w:val="style0"/>
        <w:spacing w:lineRule="auto" w:line="276"/>
        <w:ind w:firstLine="720"/>
        <w:rPr>
          <w:lang w:val="fr-FR"/>
        </w:rPr>
      </w:pPr>
      <w:r>
        <w:rPr>
          <w:lang w:val="fr-FR"/>
        </w:rPr>
        <w:t>De manière plus générale, les programmes de formation à l’ENI sont axés sur plusieurs grands domaines : l'informatique de gestion, l'informatique des systèmes et réseaux et l’intelligence artificielle. Les modules de formation intègrent à la fois des concepts d'informatique fondamentale, pour une solide maîtrise des bases théoriques, et des éléments d'informatique appliquée, permettant aux étudiants de développer des compétences pratiques et opérationnelles dans divers contextes professionnels.</w:t>
      </w:r>
    </w:p>
    <w:p>
      <w:pPr>
        <w:pStyle w:val="style0"/>
        <w:ind w:firstLine="720"/>
        <w:rPr>
          <w:lang w:val="fr-FR"/>
        </w:rPr>
      </w:pPr>
      <w:r>
        <w:rPr>
          <w:lang w:val="fr-FR"/>
        </w:rPr>
        <w:t>Le Tableau 1 représente l’organisation du système de formation pédagogique de l’établissement.</w:t>
      </w:r>
    </w:p>
    <w:bookmarkStart w:id="12" w:name="_Toc181200445"/>
    <w:p>
      <w:pPr>
        <w:pStyle w:val="style34"/>
        <w:keepNext/>
        <w:rPr/>
      </w:pPr>
      <w:r>
        <w:t xml:space="preserve">Tableau </w:t>
      </w:r>
      <w:r>
        <w:rPr/>
        <w:fldChar w:fldCharType="begin"/>
      </w:r>
      <w:r>
        <w:instrText xml:space="preserve"> SEQ Tableau \* ARABIC </w:instrText>
      </w:r>
      <w:r>
        <w:rPr/>
        <w:fldChar w:fldCharType="separate"/>
      </w:r>
      <w:r>
        <w:rPr>
          <w:noProof/>
        </w:rPr>
        <w:t>1</w:t>
      </w:r>
      <w:r>
        <w:rPr/>
        <w:fldChar w:fldCharType="end"/>
      </w:r>
      <w:r>
        <w:rPr>
          <w:lang w:val="fr-FR"/>
        </w:rPr>
        <w:t>: Organisation du système de formation de l'école</w:t>
      </w:r>
      <w:bookmarkEnd w:id="12"/>
    </w:p>
    <w:tbl>
      <w:tblPr>
        <w:tblStyle w:val="style154"/>
        <w:tblW w:w="0" w:type="auto"/>
        <w:tblLook w:val="04A0" w:firstRow="1" w:lastRow="0" w:firstColumn="1" w:lastColumn="0" w:noHBand="0" w:noVBand="1"/>
      </w:tblPr>
      <w:tblGrid>
        <w:gridCol w:w="4528"/>
        <w:gridCol w:w="4545"/>
      </w:tblGrid>
      <w:tr>
        <w:trPr>
          <w:trHeight w:val="383" w:hRule="atLeast"/>
        </w:trPr>
        <w:tc>
          <w:tcPr>
            <w:tcW w:w="4814" w:type="dxa"/>
            <w:tcBorders/>
            <w:shd w:val="clear" w:color="auto" w:fill="8496b0"/>
          </w:tcPr>
          <w:p>
            <w:pPr>
              <w:pStyle w:val="style0"/>
              <w:jc w:val="center"/>
              <w:rPr>
                <w:lang w:val="fr-FR"/>
              </w:rPr>
            </w:pPr>
            <w:r>
              <w:rPr>
                <w:lang w:val="fr-FR"/>
              </w:rPr>
              <w:t>Formation Théorique</w:t>
            </w:r>
          </w:p>
        </w:tc>
        <w:tc>
          <w:tcPr>
            <w:tcW w:w="4814" w:type="dxa"/>
            <w:tcBorders/>
            <w:shd w:val="clear" w:color="auto" w:fill="8496b0"/>
          </w:tcPr>
          <w:p>
            <w:pPr>
              <w:pStyle w:val="style0"/>
              <w:jc w:val="center"/>
              <w:rPr>
                <w:lang w:val="fr-FR"/>
              </w:rPr>
            </w:pPr>
            <w:r>
              <w:rPr>
                <w:lang w:val="fr-FR"/>
              </w:rPr>
              <w:t>Formation Pratique</w:t>
            </w:r>
          </w:p>
        </w:tc>
      </w:tr>
      <w:tr>
        <w:tblPrEx/>
        <w:trPr/>
        <w:tc>
          <w:tcPr>
            <w:tcW w:w="4814" w:type="dxa"/>
            <w:tcBorders/>
          </w:tcPr>
          <w:p>
            <w:pPr>
              <w:pStyle w:val="style179"/>
              <w:numPr>
                <w:ilvl w:val="0"/>
                <w:numId w:val="5"/>
              </w:numPr>
              <w:spacing w:lineRule="auto" w:line="276"/>
              <w:rPr>
                <w:lang w:val="fr-FR"/>
              </w:rPr>
            </w:pPr>
            <w:r>
              <w:rPr>
                <w:lang w:val="fr-FR"/>
              </w:rPr>
              <w:t>Enseignement théorique</w:t>
            </w:r>
          </w:p>
          <w:p>
            <w:pPr>
              <w:pStyle w:val="style179"/>
              <w:numPr>
                <w:ilvl w:val="0"/>
                <w:numId w:val="5"/>
              </w:numPr>
              <w:spacing w:lineRule="auto" w:line="276"/>
              <w:rPr>
                <w:lang w:val="fr-FR"/>
              </w:rPr>
            </w:pPr>
            <w:r>
              <w:rPr>
                <w:lang w:val="fr-FR"/>
              </w:rPr>
              <w:t>Travaux dirigés</w:t>
            </w:r>
          </w:p>
          <w:p>
            <w:pPr>
              <w:pStyle w:val="style179"/>
              <w:numPr>
                <w:ilvl w:val="0"/>
                <w:numId w:val="5"/>
              </w:numPr>
              <w:spacing w:lineRule="auto" w:line="276"/>
              <w:rPr>
                <w:lang w:val="fr-FR"/>
              </w:rPr>
            </w:pPr>
            <w:r>
              <w:rPr>
                <w:lang w:val="fr-FR"/>
              </w:rPr>
              <w:t>Travaux pratiques</w:t>
            </w:r>
          </w:p>
          <w:p>
            <w:pPr>
              <w:pStyle w:val="style179"/>
              <w:numPr>
                <w:ilvl w:val="0"/>
                <w:numId w:val="5"/>
              </w:numPr>
              <w:spacing w:lineRule="auto" w:line="276"/>
              <w:rPr>
                <w:lang w:val="fr-FR"/>
              </w:rPr>
            </w:pPr>
            <w:r>
              <w:rPr>
                <w:lang w:val="fr-FR"/>
              </w:rPr>
              <w:t>Conférences</w:t>
            </w:r>
          </w:p>
        </w:tc>
        <w:tc>
          <w:tcPr>
            <w:tcW w:w="4814" w:type="dxa"/>
            <w:tcBorders/>
          </w:tcPr>
          <w:p>
            <w:pPr>
              <w:pStyle w:val="style179"/>
              <w:numPr>
                <w:ilvl w:val="0"/>
                <w:numId w:val="5"/>
              </w:numPr>
              <w:spacing w:lineRule="auto" w:line="276"/>
              <w:rPr>
                <w:lang w:val="fr-FR"/>
              </w:rPr>
            </w:pPr>
            <w:r>
              <w:rPr>
                <w:lang w:val="fr-FR"/>
              </w:rPr>
              <w:t>Etude de cas</w:t>
            </w:r>
          </w:p>
          <w:p>
            <w:pPr>
              <w:pStyle w:val="style179"/>
              <w:numPr>
                <w:ilvl w:val="0"/>
                <w:numId w:val="5"/>
              </w:numPr>
              <w:spacing w:lineRule="auto" w:line="276"/>
              <w:rPr>
                <w:lang w:val="fr-FR"/>
              </w:rPr>
            </w:pPr>
            <w:r>
              <w:rPr>
                <w:lang w:val="fr-FR"/>
              </w:rPr>
              <w:t>Travaux de réalisation</w:t>
            </w:r>
          </w:p>
          <w:p>
            <w:pPr>
              <w:pStyle w:val="style179"/>
              <w:numPr>
                <w:ilvl w:val="0"/>
                <w:numId w:val="5"/>
              </w:numPr>
              <w:spacing w:lineRule="auto" w:line="276"/>
              <w:rPr>
                <w:lang w:val="fr-FR"/>
              </w:rPr>
            </w:pPr>
            <w:r>
              <w:rPr>
                <w:lang w:val="fr-FR"/>
              </w:rPr>
              <w:t>Projets/Projets tutoriels</w:t>
            </w:r>
          </w:p>
          <w:p>
            <w:pPr>
              <w:pStyle w:val="style179"/>
              <w:numPr>
                <w:ilvl w:val="0"/>
                <w:numId w:val="5"/>
              </w:numPr>
              <w:spacing w:lineRule="auto" w:line="276"/>
              <w:rPr>
                <w:lang w:val="fr-FR"/>
              </w:rPr>
            </w:pPr>
            <w:r>
              <w:rPr>
                <w:lang w:val="fr-FR"/>
              </w:rPr>
              <w:t>Voyages d’études</w:t>
            </w:r>
          </w:p>
          <w:p>
            <w:pPr>
              <w:pStyle w:val="style179"/>
              <w:numPr>
                <w:ilvl w:val="0"/>
                <w:numId w:val="5"/>
              </w:numPr>
              <w:spacing w:lineRule="auto" w:line="276"/>
              <w:rPr>
                <w:lang w:val="fr-FR"/>
              </w:rPr>
            </w:pPr>
            <w:r>
              <w:rPr>
                <w:lang w:val="fr-FR"/>
              </w:rPr>
              <w:t>Stages en entreprise</w:t>
            </w:r>
          </w:p>
        </w:tc>
      </w:tr>
    </w:tbl>
    <w:p>
      <w:pPr>
        <w:pStyle w:val="style0"/>
        <w:ind w:firstLine="720"/>
        <w:rPr>
          <w:lang w:val="fr-FR"/>
        </w:rPr>
      </w:pPr>
    </w:p>
    <w:bookmarkStart w:id="13" w:name="_Toc180745852"/>
    <w:bookmarkStart w:id="14" w:name="_Toc181172935"/>
    <w:p>
      <w:pPr>
        <w:pStyle w:val="style3"/>
        <w:rPr>
          <w:lang w:val="fr-FR"/>
        </w:rPr>
      </w:pPr>
      <w:r>
        <w:rPr>
          <w:lang w:val="fr-FR"/>
        </w:rPr>
        <w:t>Architecture des formations pédagogiques</w:t>
      </w:r>
      <w:bookmarkEnd w:id="13"/>
      <w:bookmarkEnd w:id="14"/>
    </w:p>
    <w:p>
      <w:pPr>
        <w:pStyle w:val="style0"/>
        <w:spacing w:lineRule="auto" w:line="276"/>
        <w:ind w:firstLine="720"/>
        <w:rPr>
          <w:lang w:val="fr-FR"/>
        </w:rPr>
      </w:pPr>
      <w:r>
        <w:rPr>
          <w:lang w:val="fr-FR"/>
        </w:rPr>
        <w:t>Le recrutement des étudiants à l'ENI se fait exclusivement par concours national à l’entrée en première année</w:t>
      </w:r>
      <w:r>
        <w:rPr>
          <w:lang w:val="fr-FR"/>
        </w:rPr>
        <w:t xml:space="preserve"> de Licence professionnelle</w:t>
      </w:r>
      <w:r>
        <w:rPr>
          <w:lang w:val="fr-FR"/>
        </w:rPr>
        <w:t xml:space="preserve">. </w:t>
      </w:r>
    </w:p>
    <w:p>
      <w:pPr>
        <w:pStyle w:val="style0"/>
        <w:spacing w:lineRule="auto" w:line="276"/>
        <w:ind w:firstLine="720"/>
        <w:rPr>
          <w:lang w:val="fr-FR"/>
        </w:rPr>
      </w:pPr>
      <w:r>
        <w:rPr>
          <w:lang w:val="fr-FR"/>
        </w:rPr>
        <w:t xml:space="preserve">Les offres de formation proposées par l’École ont été approuvées par la Commission Nationale d'Habilitation (CNH) du Ministère de l’Enseignement Supérieur et de la Recherche Scientifique, conformément aux dispositions de l’arrêté n°31.174/2012-MENS du </w:t>
      </w:r>
      <w:r>
        <w:rPr>
          <w:lang w:val="fr-FR"/>
        </w:rPr>
        <w:t>0</w:t>
      </w:r>
      <w:r>
        <w:rPr>
          <w:lang w:val="fr-FR"/>
        </w:rPr>
        <w:t>5 décembre 2012.</w:t>
      </w:r>
    </w:p>
    <w:p>
      <w:pPr>
        <w:pStyle w:val="style0"/>
        <w:spacing w:after="0"/>
        <w:ind w:firstLine="720"/>
        <w:rPr>
          <w:lang w:val="fr-FR"/>
        </w:rPr>
      </w:pPr>
      <w:r>
        <w:rPr>
          <w:lang w:val="fr-FR"/>
        </w:rPr>
        <w:t xml:space="preserve">L'ENI propose </w:t>
      </w:r>
      <w:r>
        <w:rPr>
          <w:lang w:val="fr-FR"/>
        </w:rPr>
        <w:t>deux</w:t>
      </w:r>
      <w:r>
        <w:rPr>
          <w:lang w:val="fr-FR"/>
        </w:rPr>
        <w:t xml:space="preserve"> mention</w:t>
      </w:r>
      <w:r>
        <w:rPr>
          <w:lang w:val="fr-FR"/>
        </w:rPr>
        <w:t>s et structurée autour de cinq parcours :</w:t>
      </w:r>
    </w:p>
    <w:p>
      <w:pPr>
        <w:pStyle w:val="style179"/>
        <w:numPr>
          <w:ilvl w:val="0"/>
          <w:numId w:val="6"/>
        </w:numPr>
        <w:spacing w:lineRule="auto" w:line="276"/>
        <w:rPr>
          <w:lang w:val="fr-FR"/>
        </w:rPr>
      </w:pPr>
      <w:r>
        <w:rPr>
          <w:b/>
          <w:bCs/>
          <w:lang w:val="fr-FR"/>
        </w:rPr>
        <w:t>Mention Informatique</w:t>
      </w:r>
      <w:r>
        <w:rPr>
          <w:lang w:val="fr-FR"/>
        </w:rPr>
        <w:t xml:space="preserve"> dont le responsable est Dr RABETAFIKA Louis </w:t>
      </w:r>
      <w:r>
        <w:rPr>
          <w:lang w:val="fr-FR"/>
        </w:rPr>
        <w:t>Haja</w:t>
      </w:r>
      <w:r>
        <w:rPr>
          <w:lang w:val="fr-FR"/>
        </w:rPr>
        <w:t>, composée par :</w:t>
      </w:r>
    </w:p>
    <w:p>
      <w:pPr>
        <w:pStyle w:val="style179"/>
        <w:numPr>
          <w:ilvl w:val="0"/>
          <w:numId w:val="8"/>
        </w:numPr>
        <w:spacing w:lineRule="auto" w:line="276"/>
        <w:rPr>
          <w:lang w:val="fr-FR"/>
        </w:rPr>
      </w:pPr>
      <w:r>
        <w:rPr>
          <w:b/>
          <w:bCs/>
          <w:lang w:val="fr-FR"/>
        </w:rPr>
        <w:t>Parcours GBD</w:t>
      </w:r>
      <w:r>
        <w:rPr>
          <w:lang w:val="fr-FR"/>
        </w:rPr>
        <w:t> : Génie logiciel et Base de Données</w:t>
      </w:r>
    </w:p>
    <w:p>
      <w:pPr>
        <w:pStyle w:val="style179"/>
        <w:numPr>
          <w:ilvl w:val="0"/>
          <w:numId w:val="8"/>
        </w:numPr>
        <w:spacing w:lineRule="auto" w:line="276"/>
        <w:rPr>
          <w:lang w:val="fr-FR"/>
        </w:rPr>
      </w:pPr>
      <w:r>
        <w:rPr>
          <w:b/>
          <w:bCs/>
          <w:lang w:val="fr-FR"/>
        </w:rPr>
        <w:t>Parcours ASR</w:t>
      </w:r>
      <w:r>
        <w:rPr>
          <w:lang w:val="fr-FR"/>
        </w:rPr>
        <w:t> : Administration des Systèmes et Réseaux</w:t>
      </w:r>
    </w:p>
    <w:p>
      <w:pPr>
        <w:pStyle w:val="style179"/>
        <w:numPr>
          <w:ilvl w:val="0"/>
          <w:numId w:val="8"/>
        </w:numPr>
        <w:spacing w:lineRule="auto" w:line="276"/>
        <w:rPr>
          <w:lang w:val="fr-FR"/>
        </w:rPr>
      </w:pPr>
      <w:r>
        <w:rPr>
          <w:b/>
          <w:bCs/>
          <w:lang w:val="fr-FR"/>
        </w:rPr>
        <w:t>Parcours IG</w:t>
      </w:r>
      <w:r>
        <w:rPr>
          <w:lang w:val="fr-FR"/>
        </w:rPr>
        <w:t> : Informatique Générale</w:t>
      </w:r>
    </w:p>
    <w:p>
      <w:pPr>
        <w:pStyle w:val="style179"/>
        <w:numPr>
          <w:ilvl w:val="0"/>
          <w:numId w:val="6"/>
        </w:numPr>
        <w:spacing w:lineRule="auto" w:line="276"/>
        <w:rPr>
          <w:lang w:val="fr-FR"/>
        </w:rPr>
      </w:pPr>
      <w:r>
        <w:rPr>
          <w:b/>
          <w:bCs/>
          <w:lang w:val="fr-FR"/>
        </w:rPr>
        <w:t>Mention Intelligence Artificielle</w:t>
      </w:r>
      <w:r>
        <w:rPr>
          <w:lang w:val="fr-FR"/>
        </w:rPr>
        <w:t xml:space="preserve"> dont le responsable est Docteur DIMBISOA William Germain, composée par :</w:t>
      </w:r>
    </w:p>
    <w:p>
      <w:pPr>
        <w:pStyle w:val="style179"/>
        <w:numPr>
          <w:ilvl w:val="0"/>
          <w:numId w:val="7"/>
        </w:numPr>
        <w:spacing w:lineRule="auto" w:line="276"/>
        <w:rPr>
          <w:lang w:val="fr-FR"/>
        </w:rPr>
      </w:pPr>
      <w:r>
        <w:rPr>
          <w:b/>
          <w:bCs/>
          <w:lang w:val="fr-FR"/>
        </w:rPr>
        <w:t>Parcours GID </w:t>
      </w:r>
      <w:r>
        <w:rPr>
          <w:lang w:val="fr-FR"/>
        </w:rPr>
        <w:t>: Gouvernance et Ingénierie de Données</w:t>
      </w:r>
    </w:p>
    <w:p>
      <w:pPr>
        <w:pStyle w:val="style179"/>
        <w:numPr>
          <w:ilvl w:val="0"/>
          <w:numId w:val="7"/>
        </w:numPr>
        <w:spacing w:lineRule="auto" w:line="276"/>
        <w:rPr>
          <w:lang w:val="fr-FR"/>
        </w:rPr>
      </w:pPr>
      <w:r>
        <w:rPr>
          <w:b/>
          <w:bCs/>
          <w:lang w:val="fr-FR"/>
        </w:rPr>
        <w:t>Parcours OCC </w:t>
      </w:r>
      <w:r>
        <w:rPr>
          <w:lang w:val="fr-FR"/>
        </w:rPr>
        <w:t>: Objets Connectés et Cybersécurités</w:t>
      </w:r>
    </w:p>
    <w:p>
      <w:pPr>
        <w:pStyle w:val="style0"/>
        <w:spacing w:lineRule="auto" w:line="240"/>
        <w:ind w:firstLine="720"/>
        <w:rPr>
          <w:lang w:val="fr-FR"/>
        </w:rPr>
      </w:pPr>
      <w:r>
        <w:rPr>
          <w:lang w:val="fr-FR"/>
        </w:rPr>
        <w:t xml:space="preserve">Le système de formation, organisé en trois niveaux (Licence, Master, Doctorat) conformément au système LMD, permet </w:t>
      </w:r>
      <w:r>
        <w:rPr>
          <w:lang w:val="fr-FR"/>
        </w:rPr>
        <w:t>des comparaisons</w:t>
      </w:r>
      <w:r>
        <w:rPr>
          <w:lang w:val="fr-FR"/>
        </w:rPr>
        <w:t xml:space="preserve"> et des équivalences internationales des diplômes. Les trois niveaux sont :</w:t>
      </w:r>
    </w:p>
    <w:p>
      <w:pPr>
        <w:pStyle w:val="style179"/>
        <w:numPr>
          <w:ilvl w:val="1"/>
          <w:numId w:val="6"/>
        </w:numPr>
        <w:spacing w:lineRule="auto" w:line="240"/>
        <w:rPr>
          <w:lang w:val="fr-FR"/>
        </w:rPr>
      </w:pPr>
      <w:r>
        <w:rPr>
          <w:lang w:val="fr-FR"/>
        </w:rPr>
        <w:t>L = Licence (Bac + 3) = L1, L2, L3 = 6 semestres (S1 à S6)</w:t>
      </w:r>
    </w:p>
    <w:p>
      <w:pPr>
        <w:pStyle w:val="style179"/>
        <w:numPr>
          <w:ilvl w:val="1"/>
          <w:numId w:val="6"/>
        </w:numPr>
        <w:spacing w:lineRule="auto" w:line="240"/>
        <w:rPr>
          <w:lang w:val="fr-FR"/>
        </w:rPr>
      </w:pPr>
      <w:r>
        <w:rPr>
          <w:lang w:val="fr-FR"/>
        </w:rPr>
        <w:t xml:space="preserve"> M = Master (Bac + 5) = M1, M2 = 4 semestres (S7 à S10)</w:t>
      </w:r>
    </w:p>
    <w:p>
      <w:pPr>
        <w:pStyle w:val="style0"/>
        <w:spacing w:lineRule="auto" w:line="240"/>
        <w:ind w:firstLine="720"/>
        <w:rPr>
          <w:lang w:val="fr-FR"/>
        </w:rPr>
      </w:pPr>
      <w:r>
        <w:rPr>
          <w:lang w:val="fr-FR"/>
        </w:rPr>
        <w:t xml:space="preserve">Le diplôme de Licence s'obtient après trois années d'études </w:t>
      </w:r>
      <w:r>
        <w:rPr>
          <w:lang w:val="fr-FR"/>
        </w:rPr>
        <w:t>après B</w:t>
      </w:r>
      <w:r>
        <w:rPr>
          <w:lang w:val="fr-FR"/>
        </w:rPr>
        <w:t>accalauréat. Le diplôme de Master, quant à lui, est décerné après deux années supplémentaires suivant l'obtention de la Licence.</w:t>
      </w:r>
    </w:p>
    <w:p>
      <w:pPr>
        <w:pStyle w:val="style0"/>
        <w:spacing w:lineRule="auto" w:line="240"/>
        <w:ind w:firstLine="720"/>
        <w:rPr>
          <w:lang w:val="fr-FR"/>
        </w:rPr>
      </w:pPr>
      <w:r>
        <w:rPr>
          <w:lang w:val="fr-FR"/>
        </w:rPr>
        <w:t xml:space="preserve">Le Master Professionnel est un diplôme conçu pour préparer les étudiants à entrer directement sur le marché du travail à la fin de leurs études. </w:t>
      </w:r>
    </w:p>
    <w:p>
      <w:pPr>
        <w:pStyle w:val="style0"/>
        <w:spacing w:lineRule="auto" w:line="240"/>
        <w:ind w:firstLine="720"/>
        <w:rPr>
          <w:lang w:val="fr-FR"/>
        </w:rPr>
      </w:pPr>
      <w:r>
        <w:rPr>
          <w:lang w:val="fr-FR"/>
        </w:rPr>
        <w:t>Le Master Recherche remplace l’ancien Diplôme d’Études Approfondies (DEA) et permet aux étudiants de s’inscrire directement dans une École Doctorale pour poursuivre un parcours académique.</w:t>
      </w:r>
    </w:p>
    <w:p>
      <w:pPr>
        <w:pStyle w:val="style179"/>
        <w:numPr>
          <w:ilvl w:val="0"/>
          <w:numId w:val="9"/>
        </w:numPr>
        <w:spacing w:lineRule="auto" w:line="240"/>
        <w:rPr>
          <w:lang w:val="fr-FR"/>
        </w:rPr>
      </w:pPr>
      <w:r>
        <w:rPr>
          <w:lang w:val="fr-FR"/>
        </w:rPr>
        <w:t>D = Doctorat (Bac + 8)</w:t>
      </w:r>
    </w:p>
    <w:p>
      <w:pPr>
        <w:pStyle w:val="style0"/>
        <w:spacing w:lineRule="auto" w:line="240"/>
        <w:ind w:firstLine="720"/>
        <w:rPr>
          <w:lang w:val="fr-FR"/>
        </w:rPr>
      </w:pPr>
      <w:r>
        <w:rPr>
          <w:lang w:val="fr-FR"/>
        </w:rPr>
        <w:t>Le Doctorat s’obtient après trois années de recherche suivant l’obtention du Master Recherche.</w:t>
      </w:r>
    </w:p>
    <w:p>
      <w:pPr>
        <w:pStyle w:val="style0"/>
        <w:spacing w:lineRule="auto" w:line="240"/>
        <w:ind w:firstLine="720"/>
        <w:rPr>
          <w:lang w:val="fr-FR"/>
        </w:rPr>
      </w:pPr>
      <w:r>
        <w:rPr>
          <w:noProof/>
        </w:rPr>
        <w:drawing>
          <wp:anchor distT="0" distB="0" distL="0" distR="0" simplePos="false" relativeHeight="4" behindDoc="false" locked="false" layoutInCell="true" allowOverlap="true">
            <wp:simplePos x="0" y="0"/>
            <wp:positionH relativeFrom="column">
              <wp:posOffset>1405043</wp:posOffset>
            </wp:positionH>
            <wp:positionV relativeFrom="paragraph">
              <wp:posOffset>220133</wp:posOffset>
            </wp:positionV>
            <wp:extent cx="3378200" cy="1803400"/>
            <wp:effectExtent l="0" t="0" r="0" b="6350"/>
            <wp:wrapTopAndBottom/>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378200" cy="1803400"/>
                    </a:xfrm>
                    <a:prstGeom prst="rect"/>
                    <a:ln cmpd="sng" cap="flat" w="9525">
                      <a:solidFill>
                        <a:srgbClr val="000000"/>
                      </a:solidFill>
                      <a:prstDash val="solid"/>
                      <a:round/>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false" relativeHeight="5" behindDoc="false" locked="false" layoutInCell="true" allowOverlap="true">
                <wp:simplePos x="0" y="0"/>
                <wp:positionH relativeFrom="column">
                  <wp:posOffset>1403985</wp:posOffset>
                </wp:positionH>
                <wp:positionV relativeFrom="paragraph">
                  <wp:posOffset>1752600</wp:posOffset>
                </wp:positionV>
                <wp:extent cx="3378200" cy="635"/>
                <wp:effectExtent l="0" t="0" r="0" b="0"/>
                <wp:wrapTopAndBottom/>
                <wp:docPr id="1029" name="Zone de text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78200" cy="635"/>
                        </a:xfrm>
                        <a:prstGeom prst="rect"/>
                        <a:solidFill>
                          <a:srgbClr val="ffffff"/>
                        </a:solidFill>
                        <a:ln>
                          <a:noFill/>
                        </a:ln>
                      </wps:spPr>
                      <wps:txbx id="1029">
                        <w:txbxContent>
                          <w:p>
                            <w:pPr>
                              <w:pStyle w:val="style34"/>
                              <w:rPr>
                                <w:noProof/>
                                <w:sz w:val="24"/>
                              </w:rPr>
                            </w:pPr>
                            <w:bookmarkStart w:id="15" w:name="_Toc181200453"/>
                            <w:r>
                              <w:t xml:space="preserve">Figure </w:t>
                            </w:r>
                            <w:r>
                              <w:rPr/>
                              <w:fldChar w:fldCharType="begin"/>
                            </w:r>
                            <w:r>
                              <w:instrText xml:space="preserve"> SEQ Figure \* ARABIC </w:instrText>
                            </w:r>
                            <w:r>
                              <w:rPr/>
                              <w:fldChar w:fldCharType="separate"/>
                            </w:r>
                            <w:r>
                              <w:rPr>
                                <w:noProof/>
                              </w:rPr>
                              <w:t>2</w:t>
                            </w:r>
                            <w:r>
                              <w:rPr/>
                              <w:fldChar w:fldCharType="end"/>
                            </w:r>
                            <w:r>
                              <w:rPr>
                                <w:lang w:val="fr-FR"/>
                              </w:rPr>
                              <w:t xml:space="preserve"> : Architecture des études correspondant au système LMD</w:t>
                            </w:r>
                            <w:bookmarkEnd w:id="15"/>
                          </w:p>
                        </w:txbxContent>
                      </wps:txbx>
                      <wps:bodyPr lIns="0" rIns="0" tIns="0" bIns="0" vert="horz" anchor="t" wrap="square">
                        <a:prstTxWarp prst="textNoShape"/>
                        <a:spAutoFit/>
                      </wps:bodyPr>
                    </wps:wsp>
                  </a:graphicData>
                </a:graphic>
              </wp:anchor>
            </w:drawing>
          </mc:Choice>
          <mc:Fallback>
            <w:pict>
              <v:rect id="1029" fillcolor="white" stroked="f" style="position:absolute;margin-left:110.55pt;margin-top:138.0pt;width:266.0pt;height:0.05pt;z-index:5;mso-position-horizontal-relative:text;mso-position-vertical-relative:text;mso-width-relative:page;mso-height-relative:page;mso-wrap-distance-left:0.0pt;mso-wrap-distance-right:0.0pt;visibility:visible;">
                <v:stroke on="f"/>
                <w10:wrap type="topAndBottom"/>
                <v:fill/>
                <v:textbox inset="0.0pt,0.0pt,0.0pt,0.0pt" style="mso-fit-shape-to-text:true;">
                  <w:txbxContent>
                    <w:p>
                      <w:pPr>
                        <w:pStyle w:val="style34"/>
                        <w:rPr>
                          <w:noProof/>
                          <w:sz w:val="24"/>
                        </w:rPr>
                      </w:pPr>
                      <w:r>
                        <w:t xml:space="preserve">Figure </w:t>
                      </w:r>
                      <w:r>
                        <w:rPr/>
                        <w:fldChar w:fldCharType="begin"/>
                      </w:r>
                      <w:r>
                        <w:instrText xml:space="preserve"> SEQ Figure \* ARABIC </w:instrText>
                      </w:r>
                      <w:r>
                        <w:rPr/>
                        <w:fldChar w:fldCharType="separate"/>
                      </w:r>
                      <w:r>
                        <w:rPr>
                          <w:noProof/>
                        </w:rPr>
                        <w:t>2</w:t>
                      </w:r>
                      <w:r>
                        <w:rPr/>
                        <w:fldChar w:fldCharType="end"/>
                      </w:r>
                      <w:r>
                        <w:rPr>
                          <w:lang w:val="fr-FR"/>
                        </w:rPr>
                        <w:t xml:space="preserve"> : Architecture des études correspondant au système LMD</w:t>
                      </w:r>
                    </w:p>
                  </w:txbxContent>
                </v:textbox>
              </v:rect>
            </w:pict>
          </mc:Fallback>
        </mc:AlternateContent>
      </w:r>
      <w:r>
        <w:rPr>
          <w:lang w:val="fr-FR"/>
        </w:rPr>
        <w:t>La figure 2 présente l’architecture des études correspondant au système LMD.</w:t>
      </w:r>
    </w:p>
    <w:p>
      <w:pPr>
        <w:pStyle w:val="style0"/>
        <w:ind w:firstLine="720"/>
        <w:rPr>
          <w:lang w:val="fr-FR"/>
        </w:rPr>
      </w:pPr>
      <w:r>
        <w:rPr>
          <w:lang w:val="fr-FR"/>
        </w:rPr>
        <w:t>La licence peut avoir une vocation générale ou professionnelle. Et le master peut avoir une vocation professionnelle ou de recherche.</w:t>
      </w:r>
    </w:p>
    <w:p>
      <w:pPr>
        <w:pStyle w:val="style0"/>
        <w:ind w:firstLine="720"/>
        <w:rPr>
          <w:lang w:val="fr-FR"/>
        </w:rPr>
      </w:pPr>
      <w:r>
        <w:rPr>
          <w:lang w:val="fr-FR"/>
        </w:rPr>
        <w:t>Le Tableau 2 décrit les formations existantes au sein de l’établissement.</w:t>
      </w:r>
    </w:p>
    <w:bookmarkStart w:id="16" w:name="_Toc181200446"/>
    <w:p>
      <w:pPr>
        <w:pStyle w:val="style34"/>
        <w:keepNext/>
        <w:rPr/>
      </w:pPr>
      <w:r>
        <w:t xml:space="preserve">Tableau </w:t>
      </w:r>
      <w:r>
        <w:rPr/>
        <w:fldChar w:fldCharType="begin"/>
      </w:r>
      <w:r>
        <w:instrText xml:space="preserve"> SEQ Tableau \* ARABIC </w:instrText>
      </w:r>
      <w:r>
        <w:rPr/>
        <w:fldChar w:fldCharType="separate"/>
      </w:r>
      <w:r>
        <w:rPr>
          <w:noProof/>
        </w:rPr>
        <w:t>2</w:t>
      </w:r>
      <w:r>
        <w:rPr/>
        <w:fldChar w:fldCharType="end"/>
      </w:r>
      <w:r>
        <w:rPr>
          <w:lang w:val="fr-FR"/>
        </w:rPr>
        <w:t xml:space="preserve"> : Liste des formations existantes à l'ENI</w:t>
      </w:r>
      <w:bookmarkEnd w:id="16"/>
    </w:p>
    <w:tbl>
      <w:tblPr>
        <w:tblStyle w:val="style154"/>
        <w:tblW w:w="0" w:type="auto"/>
        <w:tblLook w:val="04A0" w:firstRow="1" w:lastRow="0" w:firstColumn="1" w:lastColumn="0" w:noHBand="0" w:noVBand="1"/>
      </w:tblPr>
      <w:tblGrid>
        <w:gridCol w:w="2423"/>
        <w:gridCol w:w="3469"/>
        <w:gridCol w:w="3181"/>
      </w:tblGrid>
      <w:tr>
        <w:trPr>
          <w:trHeight w:val="474" w:hRule="atLeast"/>
        </w:trPr>
        <w:tc>
          <w:tcPr>
            <w:tcW w:w="2547" w:type="dxa"/>
            <w:tcBorders>
              <w:top w:val="nil"/>
              <w:left w:val="nil"/>
              <w:bottom w:val="nil"/>
              <w:right w:val="single" w:sz="4" w:space="0" w:color="323e4f"/>
            </w:tcBorders>
          </w:tcPr>
          <w:p>
            <w:pPr>
              <w:pStyle w:val="style0"/>
              <w:rPr>
                <w:lang w:val="fr-FR"/>
              </w:rPr>
            </w:pPr>
          </w:p>
        </w:tc>
        <w:tc>
          <w:tcPr>
            <w:tcW w:w="7081" w:type="dxa"/>
            <w:gridSpan w:val="2"/>
            <w:tcBorders>
              <w:left w:val="single" w:sz="4" w:space="0" w:color="323e4f"/>
            </w:tcBorders>
            <w:shd w:val="clear" w:color="auto" w:fill="acb9ca"/>
            <w:vAlign w:val="center"/>
          </w:tcPr>
          <w:p>
            <w:pPr>
              <w:pStyle w:val="style0"/>
              <w:jc w:val="center"/>
              <w:rPr>
                <w:lang w:val="fr-FR"/>
              </w:rPr>
            </w:pPr>
            <w:r>
              <w:rPr>
                <w:lang w:val="fr-FR"/>
              </w:rPr>
              <w:t>FORMATION</w:t>
            </w:r>
          </w:p>
        </w:tc>
      </w:tr>
      <w:tr>
        <w:tblPrEx/>
        <w:trPr>
          <w:trHeight w:val="421" w:hRule="atLeast"/>
        </w:trPr>
        <w:tc>
          <w:tcPr>
            <w:tcW w:w="2547" w:type="dxa"/>
            <w:tcBorders>
              <w:top w:val="nil"/>
              <w:left w:val="nil"/>
              <w:bottom w:val="single" w:sz="4" w:space="0" w:color="323e4f"/>
              <w:right w:val="single" w:sz="4" w:space="0" w:color="323e4f"/>
            </w:tcBorders>
          </w:tcPr>
          <w:p>
            <w:pPr>
              <w:pStyle w:val="style0"/>
              <w:rPr>
                <w:lang w:val="fr-FR"/>
              </w:rPr>
            </w:pPr>
          </w:p>
        </w:tc>
        <w:tc>
          <w:tcPr>
            <w:tcW w:w="3685" w:type="dxa"/>
            <w:tcBorders>
              <w:left w:val="single" w:sz="4" w:space="0" w:color="323e4f"/>
            </w:tcBorders>
            <w:vAlign w:val="center"/>
          </w:tcPr>
          <w:p>
            <w:pPr>
              <w:pStyle w:val="style0"/>
              <w:jc w:val="center"/>
              <w:rPr>
                <w:lang w:val="fr-FR"/>
              </w:rPr>
            </w:pPr>
            <w:r>
              <w:rPr>
                <w:lang w:val="fr-FR"/>
              </w:rPr>
              <w:t>Licence Professionnelle et hybride</w:t>
            </w:r>
          </w:p>
        </w:tc>
        <w:tc>
          <w:tcPr>
            <w:tcW w:w="3396" w:type="dxa"/>
            <w:tcBorders/>
            <w:vAlign w:val="center"/>
          </w:tcPr>
          <w:p>
            <w:pPr>
              <w:pStyle w:val="style0"/>
              <w:jc w:val="center"/>
              <w:rPr>
                <w:lang w:val="fr-FR"/>
              </w:rPr>
            </w:pPr>
            <w:r>
              <w:rPr>
                <w:lang w:val="fr-FR"/>
              </w:rPr>
              <w:t>Master</w:t>
            </w:r>
          </w:p>
        </w:tc>
      </w:tr>
      <w:tr>
        <w:tblPrEx/>
        <w:trPr>
          <w:trHeight w:val="982" w:hRule="atLeast"/>
        </w:trPr>
        <w:tc>
          <w:tcPr>
            <w:tcW w:w="2547" w:type="dxa"/>
            <w:tcBorders>
              <w:top w:val="single" w:sz="4" w:space="0" w:color="323e4f"/>
            </w:tcBorders>
          </w:tcPr>
          <w:p>
            <w:pPr>
              <w:pStyle w:val="style0"/>
              <w:rPr>
                <w:lang w:val="fr-FR"/>
              </w:rPr>
            </w:pPr>
            <w:r>
              <w:rPr>
                <w:lang w:val="fr-FR"/>
              </w:rPr>
              <w:t>Condition d’admission</w:t>
            </w:r>
          </w:p>
        </w:tc>
        <w:tc>
          <w:tcPr>
            <w:tcW w:w="3685" w:type="dxa"/>
            <w:tcBorders/>
          </w:tcPr>
          <w:p>
            <w:pPr>
              <w:pStyle w:val="style0"/>
              <w:jc w:val="left"/>
              <w:rPr>
                <w:sz w:val="20"/>
                <w:szCs w:val="20"/>
                <w:lang w:val="fr-FR"/>
              </w:rPr>
            </w:pPr>
            <w:r>
              <w:rPr>
                <w:sz w:val="20"/>
                <w:szCs w:val="20"/>
                <w:lang w:val="fr-FR"/>
              </w:rPr>
              <w:t>Par voie de concours</w:t>
            </w:r>
          </w:p>
          <w:p>
            <w:pPr>
              <w:pStyle w:val="style0"/>
              <w:jc w:val="left"/>
              <w:rPr>
                <w:sz w:val="20"/>
                <w:szCs w:val="20"/>
                <w:lang w:val="fr-FR"/>
              </w:rPr>
            </w:pPr>
            <w:r>
              <w:rPr>
                <w:sz w:val="20"/>
                <w:szCs w:val="20"/>
                <w:lang w:val="fr-FR"/>
              </w:rPr>
              <w:t xml:space="preserve">Formation Professionnelle : </w:t>
            </w:r>
            <w:r>
              <w:rPr>
                <w:sz w:val="20"/>
                <w:szCs w:val="20"/>
                <w:lang w:val="fr-FR"/>
              </w:rPr>
              <w:t>325</w:t>
            </w:r>
            <w:r>
              <w:rPr>
                <w:sz w:val="20"/>
                <w:szCs w:val="20"/>
                <w:lang w:val="fr-FR"/>
              </w:rPr>
              <w:t xml:space="preserve"> </w:t>
            </w:r>
            <w:r>
              <w:rPr>
                <w:sz w:val="20"/>
                <w:szCs w:val="20"/>
                <w:lang w:val="fr-FR"/>
              </w:rPr>
              <w:t>candidats</w:t>
            </w:r>
          </w:p>
          <w:p>
            <w:pPr>
              <w:pStyle w:val="style0"/>
              <w:jc w:val="left"/>
              <w:rPr>
                <w:sz w:val="20"/>
                <w:szCs w:val="20"/>
                <w:lang w:val="fr-FR"/>
              </w:rPr>
            </w:pPr>
            <w:r>
              <w:rPr>
                <w:sz w:val="20"/>
                <w:szCs w:val="20"/>
                <w:lang w:val="fr-FR"/>
              </w:rPr>
              <w:t>Informatique générale : 325 candidats</w:t>
            </w:r>
          </w:p>
          <w:p>
            <w:pPr>
              <w:pStyle w:val="style0"/>
              <w:jc w:val="left"/>
              <w:rPr>
                <w:sz w:val="20"/>
                <w:szCs w:val="20"/>
                <w:lang w:val="fr-FR"/>
              </w:rPr>
            </w:pPr>
            <w:r>
              <w:rPr>
                <w:sz w:val="20"/>
                <w:szCs w:val="20"/>
                <w:lang w:val="fr-FR"/>
              </w:rPr>
              <w:t>Intelligence Artificielle : 200 candidats</w:t>
            </w:r>
          </w:p>
        </w:tc>
        <w:tc>
          <w:tcPr>
            <w:tcW w:w="3396" w:type="dxa"/>
            <w:tcBorders/>
          </w:tcPr>
          <w:p>
            <w:pPr>
              <w:pStyle w:val="style0"/>
              <w:rPr>
                <w:sz w:val="20"/>
                <w:szCs w:val="20"/>
                <w:lang w:val="fr-FR"/>
              </w:rPr>
            </w:pPr>
            <w:r>
              <w:rPr>
                <w:sz w:val="20"/>
                <w:szCs w:val="20"/>
                <w:lang w:val="fr-FR"/>
              </w:rPr>
              <w:t>Par voie de concours :</w:t>
            </w:r>
          </w:p>
          <w:p>
            <w:pPr>
              <w:pStyle w:val="style0"/>
              <w:rPr>
                <w:sz w:val="20"/>
                <w:szCs w:val="20"/>
                <w:lang w:val="fr-FR"/>
              </w:rPr>
            </w:pPr>
            <w:r>
              <w:rPr>
                <w:sz w:val="20"/>
                <w:szCs w:val="20"/>
                <w:lang w:val="fr-FR"/>
              </w:rPr>
              <w:t>Intelligence Artificielle : 100 candidats</w:t>
            </w:r>
          </w:p>
        </w:tc>
      </w:tr>
      <w:tr>
        <w:tblPrEx/>
        <w:trPr>
          <w:trHeight w:val="841" w:hRule="atLeast"/>
        </w:trPr>
        <w:tc>
          <w:tcPr>
            <w:tcW w:w="2547" w:type="dxa"/>
            <w:tcBorders/>
          </w:tcPr>
          <w:p>
            <w:pPr>
              <w:pStyle w:val="style0"/>
              <w:rPr>
                <w:lang w:val="fr-FR"/>
              </w:rPr>
            </w:pPr>
            <w:r>
              <w:rPr>
                <w:lang w:val="fr-FR"/>
              </w:rPr>
              <w:t>Condition d’accès</w:t>
            </w:r>
          </w:p>
        </w:tc>
        <w:tc>
          <w:tcPr>
            <w:tcW w:w="3685" w:type="dxa"/>
            <w:tcBorders/>
            <w:vAlign w:val="center"/>
          </w:tcPr>
          <w:p>
            <w:pPr>
              <w:pStyle w:val="style0"/>
              <w:jc w:val="left"/>
              <w:rPr>
                <w:sz w:val="20"/>
                <w:szCs w:val="18"/>
                <w:lang w:val="fr-FR"/>
              </w:rPr>
            </w:pPr>
            <w:r>
              <w:rPr>
                <w:sz w:val="20"/>
                <w:szCs w:val="18"/>
                <w:lang w:val="fr-FR"/>
              </w:rPr>
              <w:t>Formation professionnelle et Informatique général : Bac C, D, S ou Technique</w:t>
            </w:r>
          </w:p>
          <w:p>
            <w:pPr>
              <w:pStyle w:val="style0"/>
              <w:jc w:val="left"/>
              <w:rPr>
                <w:sz w:val="20"/>
                <w:szCs w:val="18"/>
                <w:lang w:val="fr-FR"/>
              </w:rPr>
            </w:pPr>
            <w:r>
              <w:rPr>
                <w:sz w:val="20"/>
                <w:szCs w:val="18"/>
                <w:lang w:val="fr-FR"/>
              </w:rPr>
              <w:t>Intelligence Artificielle : Bac toutes Série</w:t>
            </w:r>
          </w:p>
        </w:tc>
        <w:tc>
          <w:tcPr>
            <w:tcW w:w="3396" w:type="dxa"/>
            <w:tcBorders/>
            <w:vAlign w:val="center"/>
          </w:tcPr>
          <w:p>
            <w:pPr>
              <w:pStyle w:val="style0"/>
              <w:jc w:val="left"/>
              <w:rPr>
                <w:sz w:val="20"/>
                <w:szCs w:val="18"/>
                <w:lang w:val="fr-FR"/>
              </w:rPr>
            </w:pPr>
            <w:r>
              <w:rPr>
                <w:sz w:val="20"/>
                <w:szCs w:val="18"/>
                <w:lang w:val="fr-FR"/>
              </w:rPr>
              <w:t>Licence Professionnelle</w:t>
            </w:r>
          </w:p>
        </w:tc>
      </w:tr>
      <w:tr>
        <w:tblPrEx/>
        <w:trPr>
          <w:trHeight w:val="414" w:hRule="atLeast"/>
        </w:trPr>
        <w:tc>
          <w:tcPr>
            <w:tcW w:w="2547" w:type="dxa"/>
            <w:tcBorders/>
          </w:tcPr>
          <w:p>
            <w:pPr>
              <w:pStyle w:val="style0"/>
              <w:rPr>
                <w:lang w:val="fr-FR"/>
              </w:rPr>
            </w:pPr>
            <w:r>
              <w:rPr>
                <w:lang w:val="fr-FR"/>
              </w:rPr>
              <w:t>Durée de formation</w:t>
            </w:r>
          </w:p>
        </w:tc>
        <w:tc>
          <w:tcPr>
            <w:tcW w:w="3685" w:type="dxa"/>
            <w:tcBorders/>
            <w:vAlign w:val="center"/>
          </w:tcPr>
          <w:p>
            <w:pPr>
              <w:pStyle w:val="style0"/>
              <w:jc w:val="center"/>
              <w:rPr>
                <w:sz w:val="20"/>
                <w:szCs w:val="20"/>
                <w:lang w:val="fr-FR"/>
              </w:rPr>
            </w:pPr>
            <w:r>
              <w:rPr>
                <w:sz w:val="20"/>
                <w:szCs w:val="20"/>
                <w:lang w:val="fr-FR"/>
              </w:rPr>
              <w:t>3 années</w:t>
            </w:r>
          </w:p>
        </w:tc>
        <w:tc>
          <w:tcPr>
            <w:tcW w:w="3396" w:type="dxa"/>
            <w:tcBorders/>
            <w:vAlign w:val="center"/>
          </w:tcPr>
          <w:p>
            <w:pPr>
              <w:pStyle w:val="style0"/>
              <w:jc w:val="center"/>
              <w:rPr>
                <w:sz w:val="20"/>
                <w:szCs w:val="20"/>
                <w:lang w:val="fr-FR"/>
              </w:rPr>
            </w:pPr>
            <w:r>
              <w:rPr>
                <w:sz w:val="20"/>
                <w:szCs w:val="20"/>
                <w:lang w:val="fr-FR"/>
              </w:rPr>
              <w:t>2 années</w:t>
            </w:r>
          </w:p>
        </w:tc>
      </w:tr>
      <w:tr>
        <w:tblPrEx/>
        <w:trPr>
          <w:trHeight w:val="405" w:hRule="atLeast"/>
        </w:trPr>
        <w:tc>
          <w:tcPr>
            <w:tcW w:w="2547" w:type="dxa"/>
            <w:tcBorders/>
          </w:tcPr>
          <w:p>
            <w:pPr>
              <w:pStyle w:val="style0"/>
              <w:rPr>
                <w:lang w:val="fr-FR"/>
              </w:rPr>
            </w:pPr>
            <w:r>
              <w:rPr>
                <w:lang w:val="fr-FR"/>
              </w:rPr>
              <w:t>Diplôme</w:t>
            </w:r>
          </w:p>
        </w:tc>
        <w:tc>
          <w:tcPr>
            <w:tcW w:w="3685" w:type="dxa"/>
            <w:tcBorders/>
            <w:vAlign w:val="center"/>
          </w:tcPr>
          <w:p>
            <w:pPr>
              <w:pStyle w:val="style0"/>
              <w:jc w:val="left"/>
              <w:rPr>
                <w:sz w:val="20"/>
                <w:szCs w:val="20"/>
                <w:lang w:val="fr-FR"/>
              </w:rPr>
            </w:pPr>
            <w:r>
              <w:rPr>
                <w:sz w:val="20"/>
                <w:szCs w:val="20"/>
                <w:lang w:val="fr-FR"/>
              </w:rPr>
              <w:t>Diplôme de Licence</w:t>
            </w:r>
          </w:p>
        </w:tc>
        <w:tc>
          <w:tcPr>
            <w:tcW w:w="3396" w:type="dxa"/>
            <w:tcBorders/>
            <w:vAlign w:val="center"/>
          </w:tcPr>
          <w:p>
            <w:pPr>
              <w:pStyle w:val="style0"/>
              <w:jc w:val="left"/>
              <w:rPr>
                <w:sz w:val="20"/>
                <w:szCs w:val="20"/>
                <w:lang w:val="fr-FR"/>
              </w:rPr>
            </w:pPr>
            <w:r>
              <w:rPr>
                <w:sz w:val="20"/>
                <w:szCs w:val="20"/>
                <w:lang w:val="fr-FR"/>
              </w:rPr>
              <w:t>Diplôme de Master</w:t>
            </w:r>
          </w:p>
        </w:tc>
      </w:tr>
    </w:tbl>
    <w:p>
      <w:pPr>
        <w:pStyle w:val="style0"/>
        <w:spacing w:before="240"/>
        <w:ind w:firstLine="720"/>
        <w:rPr>
          <w:lang w:val="fr-FR"/>
        </w:rPr>
      </w:pPr>
      <w:r>
        <w:rPr>
          <w:lang w:val="fr-FR"/>
        </w:rPr>
        <w:t xml:space="preserve">L’accès en première année de Master est automatique pour les étudiants de l’ENI ayant obtenu leur Licence Professionnelle. </w:t>
      </w:r>
    </w:p>
    <w:p>
      <w:pPr>
        <w:pStyle w:val="style0"/>
        <w:ind w:firstLine="720"/>
        <w:rPr>
          <w:lang w:val="fr-FR"/>
        </w:rPr>
      </w:pPr>
      <w:r>
        <w:rPr>
          <w:lang w:val="fr-FR"/>
        </w:rPr>
        <w:t xml:space="preserve">Le Master Recherche permet à son titulaire de poursuivre directement des études en doctorat et de s’inscrire dans une </w:t>
      </w:r>
      <w:r>
        <w:rPr>
          <w:lang w:val="fr-FR"/>
        </w:rPr>
        <w:t>E</w:t>
      </w:r>
      <w:r>
        <w:rPr>
          <w:lang w:val="fr-FR"/>
        </w:rPr>
        <w:t xml:space="preserve">cole </w:t>
      </w:r>
      <w:r>
        <w:rPr>
          <w:lang w:val="fr-FR"/>
        </w:rPr>
        <w:t>D</w:t>
      </w:r>
      <w:r>
        <w:rPr>
          <w:lang w:val="fr-FR"/>
        </w:rPr>
        <w:t>octorale.</w:t>
      </w:r>
    </w:p>
    <w:p>
      <w:pPr>
        <w:pStyle w:val="style0"/>
        <w:ind w:firstLine="720"/>
        <w:rPr>
          <w:lang w:val="fr-FR"/>
        </w:rPr>
      </w:pPr>
      <w:r>
        <w:rPr>
          <w:lang w:val="fr-FR"/>
        </w:rPr>
        <w:t xml:space="preserve">Les </w:t>
      </w:r>
      <w:r>
        <w:rPr>
          <w:lang w:val="fr-FR"/>
        </w:rPr>
        <w:t>E</w:t>
      </w:r>
      <w:r>
        <w:rPr>
          <w:lang w:val="fr-FR"/>
        </w:rPr>
        <w:t xml:space="preserve">coles </w:t>
      </w:r>
      <w:r>
        <w:rPr>
          <w:lang w:val="fr-FR"/>
        </w:rPr>
        <w:t>D</w:t>
      </w:r>
      <w:r>
        <w:rPr>
          <w:lang w:val="fr-FR"/>
        </w:rPr>
        <w:t xml:space="preserve">octorales bénéficient d'une autonomie de gestion par rapport aux établissements de formation universitaire. </w:t>
      </w:r>
    </w:p>
    <w:p>
      <w:pPr>
        <w:pStyle w:val="style0"/>
        <w:ind w:firstLine="720"/>
        <w:rPr>
          <w:lang w:val="fr-FR"/>
        </w:rPr>
      </w:pPr>
      <w:r>
        <w:rPr>
          <w:lang w:val="fr-FR"/>
        </w:rPr>
        <w:t xml:space="preserve">Par arrêté ministériel n° 21.626/2012-MESUPRES, publié le </w:t>
      </w:r>
      <w:r>
        <w:rPr>
          <w:lang w:val="fr-FR"/>
        </w:rPr>
        <w:t>0</w:t>
      </w:r>
      <w:r>
        <w:rPr>
          <w:lang w:val="fr-FR"/>
        </w:rPr>
        <w:t>9 août 2012 par la Commission Nationale d'Habilitation (CNH), l’</w:t>
      </w:r>
      <w:r>
        <w:rPr>
          <w:lang w:val="fr-FR"/>
        </w:rPr>
        <w:t>E</w:t>
      </w:r>
      <w:r>
        <w:rPr>
          <w:lang w:val="fr-FR"/>
        </w:rPr>
        <w:t xml:space="preserve">cole </w:t>
      </w:r>
      <w:r>
        <w:rPr>
          <w:lang w:val="fr-FR"/>
        </w:rPr>
        <w:t>D</w:t>
      </w:r>
      <w:r>
        <w:rPr>
          <w:lang w:val="fr-FR"/>
        </w:rPr>
        <w:t xml:space="preserve">octorale </w:t>
      </w:r>
      <w:r>
        <w:rPr>
          <w:lang w:val="fr-FR"/>
        </w:rPr>
        <w:t>« </w:t>
      </w:r>
      <w:r>
        <w:rPr>
          <w:lang w:val="fr-FR"/>
        </w:rPr>
        <w:t xml:space="preserve">Modélisation </w:t>
      </w:r>
      <w:r>
        <w:rPr>
          <w:lang w:val="fr-FR"/>
        </w:rPr>
        <w:t>–</w:t>
      </w:r>
      <w:r>
        <w:rPr>
          <w:lang w:val="fr-FR"/>
        </w:rPr>
        <w:t xml:space="preserve"> Informatique</w:t>
      </w:r>
      <w:r>
        <w:rPr>
          <w:lang w:val="fr-FR"/>
        </w:rPr>
        <w:t> »</w:t>
      </w:r>
      <w:r>
        <w:rPr>
          <w:lang w:val="fr-FR"/>
        </w:rPr>
        <w:t xml:space="preserve"> a été habilitée pour l’Université de Fianarantsoa.</w:t>
      </w:r>
    </w:p>
    <w:p>
      <w:pPr>
        <w:pStyle w:val="style0"/>
        <w:ind w:firstLine="720"/>
        <w:rPr>
          <w:lang w:val="fr-FR"/>
        </w:rPr>
      </w:pPr>
      <w:r>
        <w:rPr>
          <w:lang w:val="fr-FR"/>
        </w:rPr>
        <w:t xml:space="preserve">Depuis l'année universitaire 2010-2011, l'ENI a mis en place des formations hybrides en informatique dans plusieurs régions, notamment à Fianarantsoa et Toliara, afin de pallier l’insuffisance des infrastructures d'accueil. Ce système hybride semi-présentiel </w:t>
      </w:r>
      <w:r>
        <w:rPr>
          <w:lang w:val="fr-FR"/>
        </w:rPr>
        <w:t>utilise la</w:t>
      </w:r>
      <w:r>
        <w:rPr>
          <w:lang w:val="fr-FR"/>
        </w:rPr>
        <w:t xml:space="preserve"> visioconférence pour la formation à distance.</w:t>
      </w:r>
    </w:p>
    <w:p>
      <w:pPr>
        <w:pStyle w:val="style0"/>
        <w:ind w:firstLine="720"/>
        <w:rPr>
          <w:lang w:val="fr-FR"/>
        </w:rPr>
      </w:pPr>
      <w:r>
        <w:rPr>
          <w:lang w:val="fr-FR"/>
        </w:rPr>
        <w:t>Bien qu'il n'existe pas encore de reconnaissance formelle</w:t>
      </w:r>
      <w:r>
        <w:rPr>
          <w:lang w:val="fr-FR"/>
        </w:rPr>
        <w:t xml:space="preserve"> et écrite</w:t>
      </w:r>
      <w:r>
        <w:rPr>
          <w:lang w:val="fr-FR"/>
        </w:rPr>
        <w:t xml:space="preserve"> des diplômes délivrés par l'ENI au niveau international, les diplômés de l'école sont généralement bien accueillis dans les instituts universitaires étrangers, notamment au Canada, en Suisse et en France.</w:t>
      </w:r>
    </w:p>
    <w:bookmarkStart w:id="17" w:name="_Toc180745853"/>
    <w:bookmarkStart w:id="18" w:name="_Toc181172936"/>
    <w:p>
      <w:pPr>
        <w:pStyle w:val="style3"/>
        <w:rPr>
          <w:lang w:val="fr-FR"/>
        </w:rPr>
      </w:pPr>
      <w:r>
        <w:rPr>
          <w:lang w:val="fr-FR"/>
        </w:rPr>
        <w:t>Relation de l’ENI avec les entreprises et organismes</w:t>
      </w:r>
      <w:bookmarkEnd w:id="17"/>
      <w:bookmarkEnd w:id="18"/>
    </w:p>
    <w:p>
      <w:pPr>
        <w:pStyle w:val="style0"/>
        <w:ind w:firstLine="720"/>
        <w:rPr>
          <w:lang w:val="fr-FR"/>
        </w:rPr>
      </w:pPr>
      <w:r>
        <w:rPr>
          <w:lang w:val="fr-FR"/>
        </w:rPr>
        <w:t>Les stages effectués chaque année par les étudiants placent l'école en contact constant avec plus de 300 entreprises et organismes publics, semi-publics et privés, tant au niveau national qu'international. Grâce à ce réseau d'entreprises, de sociétés et d'organismes, l'école bénéficie de partenariats solides qui offrent non seulement des opportunités de stages, mais aussi des perspectives de recrutement pour les diplômés.</w:t>
      </w:r>
    </w:p>
    <w:p>
      <w:pPr>
        <w:pStyle w:val="style0"/>
        <w:ind w:firstLine="720"/>
        <w:rPr>
          <w:lang w:val="fr-FR"/>
        </w:rPr>
      </w:pPr>
      <w:r>
        <w:rPr>
          <w:lang w:val="fr-FR"/>
        </w:rPr>
        <w:t>L'école s'attache à développer chez ses étudiants des compétences clés telles que l'adaptabilité, le sens des responsabilités, le travail en équipe, ainsi qu'une aptitude à l'expérimentation et à l'innovation.</w:t>
      </w:r>
    </w:p>
    <w:p>
      <w:pPr>
        <w:pStyle w:val="style0"/>
        <w:ind w:firstLine="720"/>
        <w:rPr>
          <w:lang w:val="fr-FR"/>
        </w:rPr>
      </w:pPr>
      <w:r>
        <w:rPr>
          <w:lang w:val="fr-FR"/>
        </w:rPr>
        <w:t>En effet, l</w:t>
      </w:r>
      <w:r>
        <w:rPr>
          <w:lang w:val="fr-FR"/>
        </w:rPr>
        <w:t xml:space="preserve">a </w:t>
      </w:r>
      <w:r>
        <w:rPr>
          <w:lang w:val="fr-FR"/>
        </w:rPr>
        <w:t>vocation</w:t>
      </w:r>
      <w:r>
        <w:rPr>
          <w:lang w:val="fr-FR"/>
        </w:rPr>
        <w:t xml:space="preserve"> de l'ENI est de former des techniciens supérieurs de niveau Licence et des ingénieurs généralistes de niveau Master, dotés de solides compétences scientifiques, techniques et humaines, capables de s'adapter à divers secteurs d'activité intégrant l'informatique</w:t>
      </w:r>
      <w:r>
        <w:rPr>
          <w:lang w:val="fr-FR"/>
        </w:rPr>
        <w:t xml:space="preserve"> dans le cadre professionnel.</w:t>
      </w:r>
    </w:p>
    <w:p>
      <w:pPr>
        <w:pStyle w:val="style0"/>
        <w:ind w:firstLine="720"/>
        <w:rPr>
          <w:lang w:val="fr-FR"/>
        </w:rPr>
      </w:pPr>
      <w:r>
        <w:rPr>
          <w:lang w:val="fr-FR"/>
        </w:rPr>
        <w:t>Les stages en entreprise jouent un rôle essentiel en renforçant l'adéquation entre les formations dispensées à l'école et les besoins évolutifs du marché du travail.</w:t>
      </w:r>
    </w:p>
    <w:p>
      <w:pPr>
        <w:pStyle w:val="style0"/>
        <w:ind w:firstLine="720"/>
        <w:rPr>
          <w:lang w:val="fr-FR"/>
        </w:rPr>
      </w:pPr>
      <w:r>
        <w:rPr>
          <w:lang w:val="fr-FR"/>
        </w:rPr>
        <w:t>Les principaux débouchés professionnels pour les diplômés de l'ENI se situent dans les domaines suivants :</w:t>
      </w:r>
    </w:p>
    <w:p>
      <w:pPr>
        <w:pStyle w:val="style179"/>
        <w:numPr>
          <w:ilvl w:val="0"/>
          <w:numId w:val="9"/>
        </w:numPr>
        <w:spacing w:lineRule="auto" w:line="276"/>
        <w:rPr>
          <w:lang w:val="fr-FR"/>
        </w:rPr>
      </w:pPr>
      <w:r>
        <w:rPr>
          <w:lang w:val="fr-FR"/>
        </w:rPr>
        <w:t>L’informatique de gestion d’entreprise</w:t>
      </w:r>
    </w:p>
    <w:p>
      <w:pPr>
        <w:pStyle w:val="style179"/>
        <w:numPr>
          <w:ilvl w:val="0"/>
          <w:numId w:val="9"/>
        </w:numPr>
        <w:spacing w:lineRule="auto" w:line="276"/>
        <w:rPr>
          <w:lang w:val="fr-FR"/>
        </w:rPr>
      </w:pPr>
      <w:r>
        <w:rPr>
          <w:lang w:val="fr-FR"/>
        </w:rPr>
        <w:t>Les Technologies de l’Information et de la Communication (TIC)</w:t>
      </w:r>
    </w:p>
    <w:p>
      <w:pPr>
        <w:pStyle w:val="style179"/>
        <w:numPr>
          <w:ilvl w:val="0"/>
          <w:numId w:val="9"/>
        </w:numPr>
        <w:spacing w:lineRule="auto" w:line="276"/>
        <w:rPr>
          <w:lang w:val="fr-FR"/>
        </w:rPr>
      </w:pPr>
      <w:r>
        <w:rPr>
          <w:lang w:val="fr-FR"/>
        </w:rPr>
        <w:t>La sécurité informatique des réseaux</w:t>
      </w:r>
    </w:p>
    <w:p>
      <w:pPr>
        <w:pStyle w:val="style179"/>
        <w:numPr>
          <w:ilvl w:val="0"/>
          <w:numId w:val="9"/>
        </w:numPr>
        <w:spacing w:lineRule="auto" w:line="276"/>
        <w:rPr>
          <w:lang w:val="fr-FR"/>
        </w:rPr>
      </w:pPr>
      <w:r>
        <w:rPr>
          <w:lang w:val="fr-FR"/>
        </w:rPr>
        <w:t>L’administration des réseaux et des systèmes</w:t>
      </w:r>
    </w:p>
    <w:p>
      <w:pPr>
        <w:pStyle w:val="style179"/>
        <w:numPr>
          <w:ilvl w:val="0"/>
          <w:numId w:val="9"/>
        </w:numPr>
        <w:spacing w:lineRule="auto" w:line="276"/>
        <w:rPr>
          <w:lang w:val="fr-FR"/>
        </w:rPr>
      </w:pPr>
      <w:r>
        <w:rPr>
          <w:lang w:val="fr-FR"/>
        </w:rPr>
        <w:t>Les télécommunications et la téléphonie mobile</w:t>
      </w:r>
    </w:p>
    <w:p>
      <w:pPr>
        <w:pStyle w:val="style179"/>
        <w:numPr>
          <w:ilvl w:val="0"/>
          <w:numId w:val="9"/>
        </w:numPr>
        <w:spacing w:lineRule="auto" w:line="276"/>
        <w:rPr>
          <w:lang w:val="fr-FR"/>
        </w:rPr>
      </w:pPr>
      <w:r>
        <w:rPr>
          <w:lang w:val="fr-FR"/>
        </w:rPr>
        <w:t>Les Big Data</w:t>
      </w:r>
    </w:p>
    <w:p>
      <w:pPr>
        <w:pStyle w:val="style179"/>
        <w:numPr>
          <w:ilvl w:val="0"/>
          <w:numId w:val="9"/>
        </w:numPr>
        <w:spacing w:lineRule="auto" w:line="276"/>
        <w:rPr>
          <w:lang w:val="fr-FR"/>
        </w:rPr>
      </w:pPr>
      <w:r>
        <w:rPr>
          <w:lang w:val="fr-FR"/>
        </w:rPr>
        <w:t>Le commerce, la vente et l’achat, le marketing</w:t>
      </w:r>
    </w:p>
    <w:p>
      <w:pPr>
        <w:pStyle w:val="style179"/>
        <w:numPr>
          <w:ilvl w:val="0"/>
          <w:numId w:val="9"/>
        </w:numPr>
        <w:spacing w:lineRule="auto" w:line="276"/>
        <w:rPr>
          <w:lang w:val="fr-FR"/>
        </w:rPr>
      </w:pPr>
      <w:r>
        <w:rPr>
          <w:lang w:val="fr-FR"/>
        </w:rPr>
        <w:t>L’ingénierie informatique appliquée</w:t>
      </w:r>
    </w:p>
    <w:p>
      <w:pPr>
        <w:pStyle w:val="style179"/>
        <w:numPr>
          <w:ilvl w:val="0"/>
          <w:numId w:val="9"/>
        </w:numPr>
        <w:spacing w:lineRule="auto" w:line="276"/>
        <w:rPr>
          <w:lang w:val="fr-FR"/>
        </w:rPr>
      </w:pPr>
      <w:r>
        <w:rPr>
          <w:lang w:val="fr-FR"/>
        </w:rPr>
        <w:t>L’écologie et le développement durable</w:t>
      </w:r>
    </w:p>
    <w:p>
      <w:pPr>
        <w:pStyle w:val="style179"/>
        <w:numPr>
          <w:ilvl w:val="0"/>
          <w:numId w:val="9"/>
        </w:numPr>
        <w:spacing w:lineRule="auto" w:line="276"/>
        <w:rPr>
          <w:lang w:val="fr-FR"/>
        </w:rPr>
      </w:pPr>
      <w:r>
        <w:rPr>
          <w:lang w:val="fr-FR"/>
        </w:rPr>
        <w:t>Les services bancaires et financiers, notamment le mobile</w:t>
      </w:r>
    </w:p>
    <w:p>
      <w:pPr>
        <w:pStyle w:val="style179"/>
        <w:numPr>
          <w:ilvl w:val="0"/>
          <w:numId w:val="9"/>
        </w:numPr>
        <w:spacing w:lineRule="auto" w:line="276"/>
        <w:rPr>
          <w:lang w:val="fr-FR"/>
        </w:rPr>
      </w:pPr>
      <w:r>
        <w:rPr>
          <w:lang w:val="fr-FR"/>
        </w:rPr>
        <w:t>Banking</w:t>
      </w:r>
    </w:p>
    <w:p>
      <w:pPr>
        <w:pStyle w:val="style0"/>
        <w:spacing w:lineRule="auto" w:line="276"/>
        <w:ind w:firstLine="720"/>
        <w:rPr>
          <w:lang w:val="fr-FR"/>
        </w:rPr>
      </w:pPr>
      <w:r>
        <w:rPr>
          <w:lang w:val="fr-FR"/>
        </w:rPr>
        <w:t xml:space="preserve">Parmi le sociétés, entreprises et organismes partenaires de l’école, on peut citer : Accenture Mauritius, Air Madagascar, Ambre Associates, Airtel, Agence Universitaire de la Francophonie (AUF), B2B, Banque Centrale, BFG-SG, BIANCO, </w:t>
      </w:r>
      <w:r>
        <w:rPr>
          <w:lang w:val="fr-FR"/>
        </w:rPr>
        <w:t>Blueline</w:t>
      </w:r>
      <w:r>
        <w:rPr>
          <w:lang w:val="fr-FR"/>
        </w:rPr>
        <w:t xml:space="preserve">, Bureau National de Gestion des Risques et des Catastrophes (BNGRC), CEDII-Fianarantsoa, Data Consulting, Central Test, Centre National Antiacridien, CNRE, CHU, CNRIT, Colas, Direction Générale des Douanes, DLC, DTS/ Moov, FID, FTM, </w:t>
      </w:r>
      <w:r>
        <w:rPr>
          <w:lang w:val="fr-FR"/>
        </w:rPr>
        <w:t>Gnosys</w:t>
      </w:r>
      <w:r>
        <w:rPr>
          <w:lang w:val="fr-FR"/>
        </w:rPr>
        <w:t xml:space="preserve">, </w:t>
      </w:r>
      <w:r>
        <w:rPr>
          <w:lang w:val="fr-FR"/>
        </w:rPr>
        <w:t>Ibonia</w:t>
      </w:r>
      <w:r>
        <w:rPr>
          <w:lang w:val="fr-FR"/>
        </w:rPr>
        <w:t xml:space="preserve">, </w:t>
      </w:r>
      <w:r>
        <w:rPr>
          <w:lang w:val="fr-FR"/>
        </w:rPr>
        <w:t>Ingenosya</w:t>
      </w:r>
      <w:r>
        <w:rPr>
          <w:lang w:val="fr-FR"/>
        </w:rPr>
        <w:t xml:space="preserve">, INSTAT, IOGA, JIRAMA, Jouve, Mada dev, MAEP, MEF, MEN, </w:t>
      </w:r>
      <w:r>
        <w:rPr>
          <w:lang w:val="fr-FR"/>
        </w:rPr>
        <w:t>MESupRES</w:t>
      </w:r>
      <w:r>
        <w:rPr>
          <w:lang w:val="fr-FR"/>
        </w:rPr>
        <w:t xml:space="preserve">, MFB, MIC, MININTER, Ministère des postes/ Télécommunications et du Développement Numérique, NEOV MAD, Ny Havana, Madagascar National Parks, </w:t>
      </w:r>
      <w:r>
        <w:rPr>
          <w:lang w:val="fr-FR"/>
        </w:rPr>
        <w:t>Omnitec</w:t>
      </w:r>
      <w:r>
        <w:rPr>
          <w:lang w:val="fr-FR"/>
        </w:rPr>
        <w:t xml:space="preserve">, Orange, OTME, PRACCESS, QMM Fort-Dauphin, SMMC, SNEDADRS Antsirabe, Sénat, Société d’Exploitation du Port et Toamasina </w:t>
      </w:r>
      <w:r>
        <w:rPr>
          <w:lang w:val="fr-FR"/>
        </w:rPr>
        <w:t xml:space="preserve">(SEPT), </w:t>
      </w:r>
      <w:r>
        <w:rPr>
          <w:lang w:val="fr-FR"/>
        </w:rPr>
        <w:t>SoftWell</w:t>
      </w:r>
      <w:r>
        <w:rPr>
          <w:lang w:val="fr-FR"/>
        </w:rPr>
        <w:t xml:space="preserve">, </w:t>
      </w:r>
      <w:r>
        <w:rPr>
          <w:lang w:val="fr-FR"/>
        </w:rPr>
        <w:t>Strategy</w:t>
      </w:r>
      <w:r>
        <w:rPr>
          <w:lang w:val="fr-FR"/>
        </w:rPr>
        <w:t xml:space="preserve"> Consulting, Telma, </w:t>
      </w:r>
      <w:r>
        <w:rPr>
          <w:lang w:val="fr-FR"/>
        </w:rPr>
        <w:t>Vivetic</w:t>
      </w:r>
      <w:r>
        <w:rPr>
          <w:lang w:val="fr-FR"/>
        </w:rPr>
        <w:t xml:space="preserve">, Société </w:t>
      </w:r>
      <w:r>
        <w:rPr>
          <w:lang w:val="fr-FR"/>
        </w:rPr>
        <w:t>Lazan’i</w:t>
      </w:r>
      <w:r>
        <w:rPr>
          <w:lang w:val="fr-FR"/>
        </w:rPr>
        <w:t xml:space="preserve"> Betsileo, WWF … L’organisation de stage en entreprise continue non seulement à renfoncer la professionnalisation des formations dispensées, mais elle continue surtout à accroître de façon exceptionnelle les </w:t>
      </w:r>
      <w:r>
        <w:rPr>
          <w:lang w:val="fr-FR"/>
        </w:rPr>
        <w:t>opportunutés</w:t>
      </w:r>
      <w:r>
        <w:rPr>
          <w:lang w:val="fr-FR"/>
        </w:rPr>
        <w:t xml:space="preserve"> d’embauche pour les diplômés de l’école.</w:t>
      </w:r>
    </w:p>
    <w:p>
      <w:pPr>
        <w:pStyle w:val="style3"/>
        <w:rPr>
          <w:lang w:val="fr-FR"/>
        </w:rPr>
      </w:pPr>
      <w:r>
        <w:rPr>
          <w:lang w:val="fr-FR"/>
        </w:rPr>
        <w:t>Partenariat au niveau international</w:t>
      </w:r>
    </w:p>
    <w:p>
      <w:pPr>
        <w:pStyle w:val="style0"/>
        <w:ind w:firstLine="720"/>
        <w:rPr>
          <w:lang w:val="fr-FR"/>
        </w:rPr>
      </w:pPr>
      <w:r>
        <w:rPr>
          <w:lang w:val="fr-FR"/>
        </w:rPr>
        <w:t>Entre 1996 et 1999, l’École Nationale d'Informatique (ENI) a bénéficié du soutien technique et financier de la Mission Française de Coopération et d’</w:t>
      </w:r>
      <w:r>
        <w:rPr>
          <w:lang w:val="fr-FR"/>
        </w:rPr>
        <w:t>a</w:t>
      </w:r>
      <w:r>
        <w:rPr>
          <w:lang w:val="fr-FR"/>
        </w:rPr>
        <w:t xml:space="preserve">ction </w:t>
      </w:r>
      <w:r>
        <w:rPr>
          <w:lang w:val="fr-FR"/>
        </w:rPr>
        <w:t>c</w:t>
      </w:r>
      <w:r>
        <w:rPr>
          <w:lang w:val="fr-FR"/>
        </w:rPr>
        <w:t>ulturelle dans le cadre du Programme de Renforcement de l’Enseignement Supérieur (PRESUP). Ce partenariat a permis :</w:t>
      </w:r>
    </w:p>
    <w:p>
      <w:pPr>
        <w:pStyle w:val="style179"/>
        <w:numPr>
          <w:ilvl w:val="0"/>
          <w:numId w:val="10"/>
        </w:numPr>
        <w:rPr>
          <w:lang w:val="fr-FR"/>
        </w:rPr>
      </w:pPr>
      <w:r>
        <w:rPr>
          <w:lang w:val="fr-FR"/>
        </w:rPr>
        <w:t>L’acquisition de logiciels, de micro-ordinateurs, d’équipements de laboratoire de maintenance et de matériels didactiques</w:t>
      </w:r>
    </w:p>
    <w:p>
      <w:pPr>
        <w:pStyle w:val="style179"/>
        <w:numPr>
          <w:ilvl w:val="0"/>
          <w:numId w:val="10"/>
        </w:numPr>
        <w:rPr>
          <w:lang w:val="fr-FR"/>
        </w:rPr>
      </w:pPr>
      <w:r>
        <w:rPr>
          <w:lang w:val="fr-FR"/>
        </w:rPr>
        <w:t>La mise à jour des programmes de formation, accompagné du renouvellement du fonds de la bibliothèque</w:t>
      </w:r>
    </w:p>
    <w:p>
      <w:pPr>
        <w:pStyle w:val="style179"/>
        <w:numPr>
          <w:ilvl w:val="0"/>
          <w:numId w:val="10"/>
        </w:numPr>
        <w:rPr>
          <w:lang w:val="fr-FR"/>
        </w:rPr>
      </w:pPr>
      <w:r>
        <w:rPr>
          <w:lang w:val="fr-FR"/>
        </w:rPr>
        <w:t>Le renforcement de formation des formateurs</w:t>
      </w:r>
    </w:p>
    <w:p>
      <w:pPr>
        <w:pStyle w:val="style179"/>
        <w:numPr>
          <w:ilvl w:val="0"/>
          <w:numId w:val="10"/>
        </w:numPr>
        <w:rPr>
          <w:lang w:val="fr-FR"/>
        </w:rPr>
      </w:pPr>
      <w:r>
        <w:rPr>
          <w:lang w:val="fr-FR"/>
        </w:rPr>
        <w:t>L’affectation de techniciens experts français au sein de l’établissement.</w:t>
      </w:r>
    </w:p>
    <w:p>
      <w:pPr>
        <w:pStyle w:val="style0"/>
        <w:ind w:firstLine="720"/>
        <w:rPr>
          <w:lang w:val="fr-FR"/>
        </w:rPr>
      </w:pPr>
      <w:r>
        <w:rPr>
          <w:lang w:val="fr-FR"/>
        </w:rPr>
        <w:t xml:space="preserve">Entre 2000 et 2004, l’ENI a siégé au bureau de la Conférence Internationale des </w:t>
      </w:r>
      <w:r>
        <w:rPr>
          <w:lang w:val="fr-FR"/>
        </w:rPr>
        <w:t>é</w:t>
      </w:r>
      <w:r>
        <w:rPr>
          <w:lang w:val="fr-FR"/>
        </w:rPr>
        <w:t xml:space="preserve">coles de </w:t>
      </w:r>
      <w:r>
        <w:rPr>
          <w:lang w:val="fr-FR"/>
        </w:rPr>
        <w:t>f</w:t>
      </w:r>
      <w:r>
        <w:rPr>
          <w:lang w:val="fr-FR"/>
        </w:rPr>
        <w:t>ormation d’</w:t>
      </w:r>
      <w:r>
        <w:rPr>
          <w:lang w:val="fr-FR"/>
        </w:rPr>
        <w:t>i</w:t>
      </w:r>
      <w:r>
        <w:rPr>
          <w:lang w:val="fr-FR"/>
        </w:rPr>
        <w:t>ngénieurs et Techniciens d’Expression Française (CITEF). Par ailleurs, les enseignants-chercheurs de l'ENI participent activement aux activités organisées dans le cadre du Colloque Africain sur la Recherche en Informatique (CARI).</w:t>
      </w:r>
    </w:p>
    <w:p>
      <w:pPr>
        <w:pStyle w:val="style0"/>
        <w:ind w:firstLine="720"/>
        <w:rPr>
          <w:lang w:val="fr-FR"/>
        </w:rPr>
      </w:pPr>
      <w:r>
        <w:rPr>
          <w:lang w:val="fr-FR"/>
        </w:rPr>
        <w:t xml:space="preserve">L’ENI a également signé </w:t>
      </w:r>
      <w:r>
        <w:rPr>
          <w:lang w:val="fr-FR"/>
        </w:rPr>
        <w:t>un</w:t>
      </w:r>
      <w:r>
        <w:rPr>
          <w:lang w:val="fr-FR"/>
        </w:rPr>
        <w:t xml:space="preserve"> accord de coopération interuniversitaire avec plusieurs institutions prestigieuses, notamment l’Institut de Recherche en Mathématiques et Informatique Appliquées (IREMIA) de l’Université de La Réunion, l’Université de Rennes 1, l’INSA de Rennes, et l’Institut National Polytechnique de Grenoble (INPG).</w:t>
      </w:r>
    </w:p>
    <w:p>
      <w:pPr>
        <w:pStyle w:val="style0"/>
        <w:ind w:firstLine="720"/>
        <w:rPr>
          <w:lang w:val="fr-FR"/>
        </w:rPr>
      </w:pPr>
      <w:r>
        <w:rPr>
          <w:lang w:val="fr-FR"/>
        </w:rPr>
        <w:t>Depuis juillet 2001, l’ENI héberge le Centre de Réseau Opérationnel (Network Operating Center) et assure le point d'accès Internet de l'école ainsi que de l’Université de Fianarantsoa. Ce projet, financé par USAID Madagascar, a permis de doter l'ENI d'une connexion Internet permanente via une ligne spécialisée.</w:t>
      </w:r>
    </w:p>
    <w:p>
      <w:pPr>
        <w:pStyle w:val="style0"/>
        <w:ind w:firstLine="720"/>
        <w:rPr>
          <w:lang w:val="fr-FR"/>
        </w:rPr>
      </w:pPr>
      <w:r>
        <w:rPr>
          <w:lang w:val="fr-FR"/>
        </w:rPr>
        <w:t>L’ENI entretient également des relations de coopération avec l’Institut de Recherche pour le Développement (IRD), consolidant ainsi son engagement dans les réseaux de recherche et d’innovation internationaux.</w:t>
      </w:r>
    </w:p>
    <w:p>
      <w:pPr>
        <w:pStyle w:val="style0"/>
        <w:ind w:firstLine="720"/>
        <w:rPr>
          <w:lang w:val="fr-FR"/>
        </w:rPr>
      </w:pPr>
      <w:r>
        <w:rPr>
          <w:lang w:val="fr-FR"/>
        </w:rPr>
        <w:t>L</w:t>
      </w:r>
      <w:r>
        <w:rPr>
          <w:lang w:val="fr-FR"/>
        </w:rPr>
        <w:t>’objet du</w:t>
      </w:r>
      <w:r>
        <w:rPr>
          <w:lang w:val="fr-FR"/>
        </w:rPr>
        <w:t xml:space="preserve"> projet de coopération portait sur la modélisation environnementale du Corridor </w:t>
      </w:r>
      <w:r>
        <w:rPr>
          <w:lang w:val="fr-FR"/>
        </w:rPr>
        <w:t>f</w:t>
      </w:r>
      <w:r>
        <w:rPr>
          <w:lang w:val="fr-FR"/>
        </w:rPr>
        <w:t xml:space="preserve">orestier de </w:t>
      </w:r>
      <w:r>
        <w:rPr>
          <w:lang w:val="fr-FR"/>
        </w:rPr>
        <w:t>Fandriana</w:t>
      </w:r>
      <w:r>
        <w:rPr>
          <w:lang w:val="fr-FR"/>
        </w:rPr>
        <w:t xml:space="preserve"> jusqu’à</w:t>
      </w:r>
      <w:r>
        <w:rPr>
          <w:lang w:val="fr-FR"/>
        </w:rPr>
        <w:t xml:space="preserve"> </w:t>
      </w:r>
      <w:r>
        <w:rPr>
          <w:lang w:val="fr-FR"/>
        </w:rPr>
        <w:t>Vondrozo</w:t>
      </w:r>
      <w:r>
        <w:rPr>
          <w:lang w:val="fr-FR"/>
        </w:rPr>
        <w:t xml:space="preserve"> (COFAV). Dans ce cadre, un atelier scientifique international a été organisé à l’ENI en septembre 2008, axé sur la modélisation des paysages.</w:t>
      </w:r>
    </w:p>
    <w:p>
      <w:pPr>
        <w:pStyle w:val="style0"/>
        <w:ind w:firstLine="720"/>
        <w:rPr>
          <w:lang w:val="fr-FR"/>
        </w:rPr>
      </w:pPr>
      <w:r>
        <w:rPr>
          <w:lang w:val="fr-FR"/>
        </w:rPr>
        <w:t>Dans le cadre du programme scientifique PARRUR, l’</w:t>
      </w:r>
      <w:r>
        <w:rPr>
          <w:lang w:val="fr-FR"/>
        </w:rPr>
        <w:t>IRD</w:t>
      </w:r>
      <w:r>
        <w:rPr>
          <w:lang w:val="fr-FR"/>
        </w:rPr>
        <w:t xml:space="preserve"> a financé, dès 2010, le projet « Forêts, Parcs et Pauvreté dans le Sud de Madagascar » (FPPSM), auquel des étudiants en DEA et des doctorants de l’ENI ont participé.</w:t>
      </w:r>
    </w:p>
    <w:p>
      <w:pPr>
        <w:pStyle w:val="style0"/>
        <w:ind w:firstLine="720"/>
        <w:rPr>
          <w:lang w:val="fr-FR"/>
        </w:rPr>
      </w:pPr>
      <w:r>
        <w:rPr>
          <w:lang w:val="fr-FR"/>
        </w:rPr>
        <w:t xml:space="preserve">Par ailleurs, en 2010, l’ENI de Fianarantsoa a été sélectionnée comme partenaire de l’Université de Savoie pour le projet TICEVAL, visant la certification des compétences en TIC. Ce projet, financé par le Fonds Francophone des Inforoutes entre 2010 et 2012, avait pour objectif de généraliser les certifications de compétences en informatique et </w:t>
      </w:r>
      <w:r>
        <w:rPr>
          <w:lang w:val="fr-FR"/>
        </w:rPr>
        <w:t>I</w:t>
      </w:r>
      <w:r>
        <w:rPr>
          <w:lang w:val="fr-FR"/>
        </w:rPr>
        <w:t>nternet</w:t>
      </w:r>
      <w:r>
        <w:rPr>
          <w:lang w:val="fr-FR"/>
        </w:rPr>
        <w:t xml:space="preserve"> du type </w:t>
      </w:r>
      <w:r>
        <w:rPr>
          <w:lang w:val="fr-FR"/>
        </w:rPr>
        <w:t>C2i2e et C2i</w:t>
      </w:r>
      <w:r>
        <w:rPr>
          <w:lang w:val="fr-FR"/>
        </w:rPr>
        <w:t>mi</w:t>
      </w:r>
      <w:r>
        <w:rPr>
          <w:lang w:val="fr-FR"/>
        </w:rPr>
        <w:t xml:space="preserve">. Grâce à une convention de coopération avec l’Université de Savoie, des étudiants de l’ENI </w:t>
      </w:r>
      <w:r>
        <w:rPr>
          <w:lang w:val="fr-FR"/>
        </w:rPr>
        <w:t>ont</w:t>
      </w:r>
      <w:r>
        <w:rPr>
          <w:lang w:val="fr-FR"/>
        </w:rPr>
        <w:t xml:space="preserve"> eu l’opportunité de poursuivre des études supérieures en informatique à Chambéry.</w:t>
      </w:r>
    </w:p>
    <w:p>
      <w:pPr>
        <w:pStyle w:val="style0"/>
        <w:ind w:firstLine="720"/>
        <w:rPr>
          <w:lang w:val="fr-FR"/>
        </w:rPr>
      </w:pPr>
      <w:r>
        <w:rPr>
          <w:lang w:val="fr-FR"/>
        </w:rPr>
        <w:t xml:space="preserve">En septembre 2009, un protocole de collaboration scientifique a également été signé avec l’ESIROI-STIM de l’Université de La Réunion. </w:t>
      </w:r>
    </w:p>
    <w:p>
      <w:pPr>
        <w:pStyle w:val="style0"/>
        <w:ind w:firstLine="720"/>
        <w:rPr>
          <w:lang w:val="fr-FR"/>
        </w:rPr>
      </w:pPr>
      <w:r>
        <w:rPr>
          <w:lang w:val="fr-FR"/>
        </w:rPr>
        <w:t>L’ENI, véritable pépinière technologique, joue un rôle crucial dans la création d’emplois et d’entreprises, et contribue ainsi à la croissance économique et à la lutte contre la pauvreté à Madagascar. En renforçant ses compétences en modélisation et en technologies avancées, l’ENI soutient la compétitivité de la Grande Île sur la scène internationale.</w:t>
      </w:r>
    </w:p>
    <w:p>
      <w:pPr>
        <w:pStyle w:val="style3"/>
        <w:rPr>
          <w:lang w:val="fr-FR"/>
        </w:rPr>
      </w:pPr>
      <w:r>
        <w:rPr>
          <w:lang w:val="fr-FR"/>
        </w:rPr>
        <w:t>Débouchés professionnels des diplômés</w:t>
      </w:r>
    </w:p>
    <w:p>
      <w:pPr>
        <w:pStyle w:val="style0"/>
        <w:ind w:firstLine="720"/>
        <w:rPr>
          <w:lang w:val="fr-FR"/>
        </w:rPr>
      </w:pPr>
      <w:r>
        <w:rPr>
          <w:lang w:val="fr-FR"/>
        </w:rPr>
        <w:t>Le chômage des jeunes diplômés universitaires est l’un des problèmes majeurs qui affectent Madagascar, exacerbé par l’environnement sociopolitique du pays depuis 2008, qui a contribué à une augmentation significative du chômage parmi les diplômés, malgré la présence de divers établissements de formation supérieure.</w:t>
      </w:r>
    </w:p>
    <w:p>
      <w:pPr>
        <w:pStyle w:val="style0"/>
        <w:ind w:firstLine="720"/>
        <w:rPr>
          <w:lang w:val="fr-FR"/>
        </w:rPr>
      </w:pPr>
      <w:r>
        <w:rPr>
          <w:lang w:val="fr-FR"/>
        </w:rPr>
        <w:t>Toutefois, les formations dispensées par l’ENI se distinguent en offrant aux étudiants des compétences</w:t>
      </w:r>
      <w:r>
        <w:rPr>
          <w:lang w:val="fr-FR"/>
        </w:rPr>
        <w:t xml:space="preserve"> </w:t>
      </w:r>
      <w:r>
        <w:rPr>
          <w:lang w:val="fr-FR"/>
        </w:rPr>
        <w:t>complètes et pratiques dans le domaine de l’informatique et des technologies de l’information et de la communication (TIC), rendant ainsi ses diplômés immédiatement opérationnels et prêts à répondre aux besoins du marché du travail.</w:t>
      </w:r>
    </w:p>
    <w:p>
      <w:pPr>
        <w:pStyle w:val="style0"/>
        <w:ind w:firstLine="720"/>
        <w:rPr>
          <w:lang w:val="fr-FR"/>
        </w:rPr>
      </w:pPr>
      <w:r>
        <w:rPr>
          <w:lang w:val="fr-FR"/>
        </w:rPr>
        <w:t>L’</w:t>
      </w:r>
      <w:r>
        <w:rPr>
          <w:lang w:val="fr-FR"/>
        </w:rPr>
        <w:t xml:space="preserve">ENI offre à ses étudiants un savoir-faire technique et des compétences interpersonnelles qui les accompagnent tout au long de leur parcours professionnel. Avec une </w:t>
      </w:r>
      <w:r>
        <w:rPr>
          <w:lang w:val="fr-FR"/>
        </w:rPr>
        <w:t>vocation</w:t>
      </w:r>
      <w:r>
        <w:rPr>
          <w:lang w:val="fr-FR"/>
        </w:rPr>
        <w:t xml:space="preserve"> résolument professionnalisante, elle forme des diplômés en Licence et en Master capables d'évoluer dans divers secteurs d’activité.</w:t>
      </w:r>
    </w:p>
    <w:p>
      <w:pPr>
        <w:pStyle w:val="style0"/>
        <w:ind w:firstLine="720"/>
        <w:rPr>
          <w:lang w:val="fr-FR"/>
        </w:rPr>
      </w:pPr>
      <w:r>
        <w:rPr>
          <w:lang w:val="fr-FR"/>
        </w:rPr>
        <w:t xml:space="preserve">Forte de </w:t>
      </w:r>
      <w:r>
        <w:rPr>
          <w:lang w:val="fr-FR"/>
        </w:rPr>
        <w:t>41</w:t>
      </w:r>
      <w:r>
        <w:rPr>
          <w:lang w:val="fr-FR"/>
        </w:rPr>
        <w:t xml:space="preserve"> années d’expérience pédagogique et d’une reconnaissance établie auprès des entreprises et des organisations, l’ENI est une référence dans le domaine de l'informatique à Madagascar. Son équipe pédagogique, composée d’enseignants-chercheurs et de formateurs expérimentés, assure un enseignement de qualité à la croisée des besoins académiques et professionnels.</w:t>
      </w:r>
    </w:p>
    <w:p>
      <w:pPr>
        <w:pStyle w:val="style0"/>
        <w:ind w:firstLine="720"/>
        <w:rPr>
          <w:lang w:val="fr-FR"/>
        </w:rPr>
      </w:pPr>
      <w:r>
        <w:rPr>
          <w:lang w:val="fr-FR"/>
        </w:rPr>
        <w:t>L’École collabore régulièrement avec un nombre croissant d’entreprises et d’organisations publiques et privées, offrant ainsi à ses étudiants des stages en phase avec les exigences du marché. Les formations de l’ENI sont conçues pour répondre aux attentes des employeurs</w:t>
      </w:r>
      <w:r>
        <w:rPr>
          <w:lang w:val="fr-FR"/>
        </w:rPr>
        <w:t>.</w:t>
      </w:r>
    </w:p>
    <w:p>
      <w:pPr>
        <w:pStyle w:val="style0"/>
        <w:ind w:firstLine="720"/>
        <w:rPr>
          <w:lang w:val="fr-FR"/>
        </w:rPr>
      </w:pPr>
      <w:r>
        <w:rPr>
          <w:lang w:val="fr-FR"/>
        </w:rPr>
        <w:t>En plus de fournir des compétences techniques pointues, l’ENI propose une double expertise technologique et managériale, combinant informatique de gestion, administration des réseaux et des systèmes. Cette approche garantit à ses diplômés une insertion rapide et réussie dans le monde professionnel.</w:t>
      </w:r>
    </w:p>
    <w:p>
      <w:pPr>
        <w:pStyle w:val="style0"/>
        <w:ind w:firstLine="720"/>
        <w:rPr>
          <w:lang w:val="fr-FR"/>
        </w:rPr>
      </w:pPr>
      <w:r>
        <w:rPr>
          <w:lang w:val="fr-FR"/>
        </w:rPr>
        <w:t>Le tableau 3 site des débouchés professionnels éventuels des diplômés de l’école.</w:t>
      </w:r>
    </w:p>
    <w:bookmarkStart w:id="19" w:name="_Toc181200447"/>
    <w:p>
      <w:pPr>
        <w:pStyle w:val="style34"/>
        <w:keepNext/>
        <w:rPr/>
      </w:pPr>
      <w:r>
        <w:t xml:space="preserve">Tableau </w:t>
      </w:r>
      <w:r>
        <w:rPr/>
        <w:fldChar w:fldCharType="begin"/>
      </w:r>
      <w:r>
        <w:instrText xml:space="preserve"> SEQ Tableau \* ARABIC </w:instrText>
      </w:r>
      <w:r>
        <w:rPr/>
        <w:fldChar w:fldCharType="separate"/>
      </w:r>
      <w:r>
        <w:rPr>
          <w:noProof/>
        </w:rPr>
        <w:t>3</w:t>
      </w:r>
      <w:r>
        <w:rPr/>
        <w:fldChar w:fldCharType="end"/>
      </w:r>
      <w:r>
        <w:rPr>
          <w:lang w:val="fr-FR"/>
        </w:rPr>
        <w:t xml:space="preserve"> : Débouchés professionnels éventuels des diplômés</w:t>
      </w:r>
      <w:bookmarkEnd w:id="19"/>
    </w:p>
    <w:tbl>
      <w:tblPr>
        <w:tblStyle w:val="style154"/>
        <w:tblW w:w="0" w:type="auto"/>
        <w:tblLook w:val="04A0" w:firstRow="1" w:lastRow="0" w:firstColumn="1" w:lastColumn="0" w:noHBand="0" w:noVBand="1"/>
      </w:tblPr>
      <w:tblGrid>
        <w:gridCol w:w="2151"/>
        <w:gridCol w:w="6922"/>
      </w:tblGrid>
      <w:tr>
        <w:trPr/>
        <w:tc>
          <w:tcPr>
            <w:tcW w:w="2263" w:type="dxa"/>
            <w:tcBorders/>
          </w:tcPr>
          <w:p>
            <w:pPr>
              <w:pStyle w:val="style0"/>
              <w:rPr>
                <w:lang w:val="fr-FR"/>
              </w:rPr>
            </w:pPr>
            <w:r>
              <w:rPr>
                <w:lang w:val="fr-FR"/>
              </w:rPr>
              <w:t>Licence</w:t>
            </w:r>
          </w:p>
        </w:tc>
        <w:tc>
          <w:tcPr>
            <w:tcW w:w="7365" w:type="dxa"/>
            <w:tcBorders/>
          </w:tcPr>
          <w:p>
            <w:pPr>
              <w:pStyle w:val="style179"/>
              <w:numPr>
                <w:ilvl w:val="0"/>
                <w:numId w:val="11"/>
              </w:numPr>
              <w:rPr>
                <w:lang w:val="fr-FR"/>
              </w:rPr>
            </w:pPr>
            <w:r>
              <w:rPr>
                <w:lang w:val="fr-FR"/>
              </w:rPr>
              <w:t>Analyste</w:t>
            </w:r>
          </w:p>
          <w:p>
            <w:pPr>
              <w:pStyle w:val="style179"/>
              <w:numPr>
                <w:ilvl w:val="0"/>
                <w:numId w:val="11"/>
              </w:numPr>
              <w:rPr>
                <w:lang w:val="fr-FR"/>
              </w:rPr>
            </w:pPr>
            <w:r>
              <w:rPr>
                <w:lang w:val="fr-FR"/>
              </w:rPr>
              <w:t>Programmeur</w:t>
            </w:r>
          </w:p>
          <w:p>
            <w:pPr>
              <w:pStyle w:val="style179"/>
              <w:numPr>
                <w:ilvl w:val="0"/>
                <w:numId w:val="11"/>
              </w:numPr>
              <w:rPr>
                <w:lang w:val="fr-FR"/>
              </w:rPr>
            </w:pPr>
            <w:r>
              <w:rPr>
                <w:lang w:val="fr-FR"/>
              </w:rPr>
              <w:t>Administrateur de site web/de portail web</w:t>
            </w:r>
          </w:p>
          <w:p>
            <w:pPr>
              <w:pStyle w:val="style179"/>
              <w:numPr>
                <w:ilvl w:val="0"/>
                <w:numId w:val="11"/>
              </w:numPr>
              <w:rPr>
                <w:lang w:val="fr-FR"/>
              </w:rPr>
            </w:pPr>
            <w:r>
              <w:rPr>
                <w:lang w:val="fr-FR"/>
              </w:rPr>
              <w:t>Assistant informatique et internet</w:t>
            </w:r>
          </w:p>
          <w:p>
            <w:pPr>
              <w:pStyle w:val="style179"/>
              <w:numPr>
                <w:ilvl w:val="0"/>
                <w:numId w:val="11"/>
              </w:numPr>
              <w:rPr>
                <w:lang w:val="fr-FR"/>
              </w:rPr>
            </w:pPr>
            <w:r>
              <w:rPr>
                <w:lang w:val="fr-FR"/>
              </w:rPr>
              <w:t>Chef de projet web ou multimédia</w:t>
            </w:r>
          </w:p>
          <w:p>
            <w:pPr>
              <w:pStyle w:val="style179"/>
              <w:numPr>
                <w:ilvl w:val="0"/>
                <w:numId w:val="11"/>
              </w:numPr>
              <w:rPr>
                <w:lang w:val="fr-FR"/>
              </w:rPr>
            </w:pPr>
            <w:r>
              <w:rPr>
                <w:lang w:val="fr-FR"/>
              </w:rPr>
              <w:t>Développeur informatique ou multimédia</w:t>
            </w:r>
          </w:p>
          <w:p>
            <w:pPr>
              <w:pStyle w:val="style179"/>
              <w:numPr>
                <w:ilvl w:val="0"/>
                <w:numId w:val="11"/>
              </w:numPr>
              <w:rPr>
                <w:lang w:val="fr-FR"/>
              </w:rPr>
            </w:pPr>
            <w:r>
              <w:rPr>
                <w:lang w:val="fr-FR"/>
              </w:rPr>
              <w:t>Intégrateur web ou web designer</w:t>
            </w:r>
          </w:p>
          <w:p>
            <w:pPr>
              <w:pStyle w:val="style179"/>
              <w:numPr>
                <w:ilvl w:val="0"/>
                <w:numId w:val="11"/>
              </w:numPr>
              <w:rPr>
                <w:lang w:val="fr-FR"/>
              </w:rPr>
            </w:pPr>
            <w:r>
              <w:rPr>
                <w:lang w:val="fr-FR"/>
              </w:rPr>
              <w:t>Hot liner / Hébergeur internet</w:t>
            </w:r>
          </w:p>
          <w:p>
            <w:pPr>
              <w:pStyle w:val="style179"/>
              <w:numPr>
                <w:ilvl w:val="0"/>
                <w:numId w:val="11"/>
              </w:numPr>
              <w:rPr>
                <w:lang w:val="fr-FR"/>
              </w:rPr>
            </w:pPr>
            <w:r>
              <w:rPr>
                <w:lang w:val="fr-FR"/>
              </w:rPr>
              <w:t>Agent de référencement</w:t>
            </w:r>
          </w:p>
          <w:p>
            <w:pPr>
              <w:pStyle w:val="style179"/>
              <w:numPr>
                <w:ilvl w:val="0"/>
                <w:numId w:val="11"/>
              </w:numPr>
              <w:rPr>
                <w:lang w:val="fr-FR"/>
              </w:rPr>
            </w:pPr>
            <w:r>
              <w:rPr>
                <w:lang w:val="fr-FR"/>
              </w:rPr>
              <w:t>Technicien / Supérieur de help desk sur informatique</w:t>
            </w:r>
          </w:p>
          <w:p>
            <w:pPr>
              <w:pStyle w:val="style179"/>
              <w:numPr>
                <w:ilvl w:val="0"/>
                <w:numId w:val="11"/>
              </w:numPr>
              <w:rPr>
                <w:lang w:val="fr-FR"/>
              </w:rPr>
            </w:pPr>
            <w:r>
              <w:rPr>
                <w:lang w:val="fr-FR"/>
              </w:rPr>
              <w:t>Responsable de sécurité web</w:t>
            </w:r>
          </w:p>
          <w:p>
            <w:pPr>
              <w:pStyle w:val="style179"/>
              <w:numPr>
                <w:ilvl w:val="0"/>
                <w:numId w:val="11"/>
              </w:numPr>
              <w:rPr>
                <w:lang w:val="fr-FR"/>
              </w:rPr>
            </w:pPr>
            <w:r>
              <w:rPr>
                <w:lang w:val="fr-FR"/>
              </w:rPr>
              <w:t>Administrateur de réseau</w:t>
            </w:r>
          </w:p>
          <w:p>
            <w:pPr>
              <w:pStyle w:val="style179"/>
              <w:numPr>
                <w:ilvl w:val="0"/>
                <w:numId w:val="11"/>
              </w:numPr>
              <w:rPr>
                <w:lang w:val="fr-FR"/>
              </w:rPr>
            </w:pPr>
            <w:r>
              <w:rPr>
                <w:lang w:val="fr-FR"/>
              </w:rPr>
              <w:t>Administrateur de cybercafé</w:t>
            </w:r>
          </w:p>
        </w:tc>
      </w:tr>
      <w:tr>
        <w:tblPrEx/>
        <w:trPr/>
        <w:tc>
          <w:tcPr>
            <w:tcW w:w="2263" w:type="dxa"/>
            <w:tcBorders/>
          </w:tcPr>
          <w:p>
            <w:pPr>
              <w:pStyle w:val="style0"/>
              <w:rPr>
                <w:lang w:val="fr-FR"/>
              </w:rPr>
            </w:pPr>
            <w:r>
              <w:rPr>
                <w:lang w:val="fr-FR"/>
              </w:rPr>
              <w:t>Master</w:t>
            </w:r>
          </w:p>
        </w:tc>
        <w:tc>
          <w:tcPr>
            <w:tcW w:w="7365" w:type="dxa"/>
            <w:tcBorders/>
          </w:tcPr>
          <w:p>
            <w:pPr>
              <w:pStyle w:val="style179"/>
              <w:numPr>
                <w:ilvl w:val="0"/>
                <w:numId w:val="12"/>
              </w:numPr>
              <w:rPr>
                <w:lang w:val="fr-FR"/>
              </w:rPr>
            </w:pPr>
            <w:r>
              <w:rPr>
                <w:lang w:val="fr-FR"/>
              </w:rPr>
              <w:t>Administrateur de cybercafé</w:t>
            </w:r>
          </w:p>
          <w:p>
            <w:pPr>
              <w:pStyle w:val="style179"/>
              <w:numPr>
                <w:ilvl w:val="0"/>
                <w:numId w:val="12"/>
              </w:numPr>
              <w:rPr>
                <w:lang w:val="fr-FR"/>
              </w:rPr>
            </w:pPr>
            <w:r>
              <w:rPr>
                <w:lang w:val="fr-FR"/>
              </w:rPr>
              <w:t>Administrateur de réseau et système</w:t>
            </w:r>
          </w:p>
          <w:p>
            <w:pPr>
              <w:pStyle w:val="style179"/>
              <w:numPr>
                <w:ilvl w:val="0"/>
                <w:numId w:val="12"/>
              </w:numPr>
              <w:rPr>
                <w:lang w:val="fr-FR"/>
              </w:rPr>
            </w:pPr>
            <w:r>
              <w:rPr>
                <w:lang w:val="fr-FR"/>
              </w:rPr>
              <w:t>Architecture de système d’information</w:t>
            </w:r>
          </w:p>
          <w:p>
            <w:pPr>
              <w:pStyle w:val="style179"/>
              <w:numPr>
                <w:ilvl w:val="0"/>
                <w:numId w:val="12"/>
              </w:numPr>
              <w:rPr>
                <w:lang w:val="fr-FR"/>
              </w:rPr>
            </w:pPr>
            <w:r>
              <w:rPr>
                <w:lang w:val="fr-FR"/>
              </w:rPr>
              <w:t>Développeur d’application / web / java / Python / iOS / Android</w:t>
            </w:r>
          </w:p>
          <w:p>
            <w:pPr>
              <w:pStyle w:val="style179"/>
              <w:numPr>
                <w:ilvl w:val="0"/>
                <w:numId w:val="12"/>
              </w:numPr>
              <w:rPr>
                <w:lang w:val="fr-FR"/>
              </w:rPr>
            </w:pPr>
            <w:r>
              <w:rPr>
                <w:lang w:val="fr-FR"/>
              </w:rPr>
              <w:t>Ingénieur réseau</w:t>
            </w:r>
          </w:p>
          <w:p>
            <w:pPr>
              <w:pStyle w:val="style179"/>
              <w:numPr>
                <w:ilvl w:val="0"/>
                <w:numId w:val="12"/>
              </w:numPr>
              <w:rPr>
                <w:lang w:val="fr-FR"/>
              </w:rPr>
            </w:pPr>
            <w:r>
              <w:rPr>
                <w:lang w:val="fr-FR"/>
              </w:rPr>
              <w:t>Webmaster / web designer</w:t>
            </w:r>
          </w:p>
          <w:p>
            <w:pPr>
              <w:pStyle w:val="style179"/>
              <w:numPr>
                <w:ilvl w:val="0"/>
                <w:numId w:val="12"/>
              </w:numPr>
              <w:rPr>
                <w:lang w:val="fr-FR"/>
              </w:rPr>
            </w:pPr>
            <w:r>
              <w:rPr>
                <w:lang w:val="fr-FR"/>
              </w:rPr>
              <w:t>Concepteur réalisateur d’applications</w:t>
            </w:r>
          </w:p>
          <w:p>
            <w:pPr>
              <w:pStyle w:val="style179"/>
              <w:numPr>
                <w:ilvl w:val="0"/>
                <w:numId w:val="12"/>
              </w:numPr>
              <w:rPr>
                <w:lang w:val="fr-FR"/>
              </w:rPr>
            </w:pPr>
            <w:r>
              <w:rPr>
                <w:lang w:val="fr-FR"/>
              </w:rPr>
              <w:t>Directeur du système de formation</w:t>
            </w:r>
          </w:p>
          <w:p>
            <w:pPr>
              <w:pStyle w:val="style179"/>
              <w:numPr>
                <w:ilvl w:val="0"/>
                <w:numId w:val="12"/>
              </w:numPr>
              <w:rPr>
                <w:lang w:val="fr-FR"/>
              </w:rPr>
            </w:pPr>
            <w:r>
              <w:rPr>
                <w:lang w:val="fr-FR"/>
              </w:rPr>
              <w:t>Directeur de projet informatique</w:t>
            </w:r>
          </w:p>
          <w:p>
            <w:pPr>
              <w:pStyle w:val="style179"/>
              <w:numPr>
                <w:ilvl w:val="0"/>
                <w:numId w:val="12"/>
              </w:numPr>
              <w:rPr>
                <w:lang w:val="fr-FR"/>
              </w:rPr>
            </w:pPr>
            <w:r>
              <w:rPr>
                <w:lang w:val="fr-FR"/>
              </w:rPr>
              <w:t>Chef de projet informatique</w:t>
            </w:r>
          </w:p>
          <w:p>
            <w:pPr>
              <w:pStyle w:val="style179"/>
              <w:numPr>
                <w:ilvl w:val="0"/>
                <w:numId w:val="12"/>
              </w:numPr>
              <w:rPr>
                <w:lang w:val="fr-FR"/>
              </w:rPr>
            </w:pPr>
            <w:r>
              <w:rPr>
                <w:lang w:val="fr-FR"/>
              </w:rPr>
              <w:t>Responsable de sécurité informatique</w:t>
            </w:r>
          </w:p>
          <w:p>
            <w:pPr>
              <w:pStyle w:val="style179"/>
              <w:numPr>
                <w:ilvl w:val="0"/>
                <w:numId w:val="12"/>
              </w:numPr>
              <w:rPr>
                <w:lang w:val="fr-FR"/>
              </w:rPr>
            </w:pPr>
            <w:r>
              <w:rPr>
                <w:lang w:val="fr-FR"/>
              </w:rPr>
              <w:t>Consultant fonctionnel ou freelance</w:t>
            </w:r>
          </w:p>
        </w:tc>
      </w:tr>
    </w:tbl>
    <w:p>
      <w:pPr>
        <w:pStyle w:val="style0"/>
        <w:rPr>
          <w:lang w:val="fr-FR"/>
        </w:rPr>
      </w:pPr>
    </w:p>
    <w:p>
      <w:pPr>
        <w:pStyle w:val="style3"/>
        <w:rPr>
          <w:lang w:val="fr-FR"/>
        </w:rPr>
      </w:pPr>
      <w:r>
        <w:rPr>
          <w:lang w:val="fr-FR"/>
        </w:rPr>
        <w:t>Ressources humaines</w:t>
      </w:r>
    </w:p>
    <w:p>
      <w:pPr>
        <w:pStyle w:val="style0"/>
        <w:spacing w:after="0"/>
        <w:ind w:firstLine="720"/>
        <w:rPr>
          <w:lang w:val="fr-FR"/>
        </w:rPr>
      </w:pPr>
      <w:r>
        <w:rPr>
          <w:lang w:val="fr-FR"/>
        </w:rPr>
        <w:t>Les ressources humaines affectées à l’ENI sont composées de :</w:t>
      </w:r>
    </w:p>
    <w:p>
      <w:pPr>
        <w:pStyle w:val="style179"/>
        <w:numPr>
          <w:ilvl w:val="0"/>
          <w:numId w:val="13"/>
        </w:numPr>
        <w:rPr>
          <w:lang w:val="fr-FR"/>
        </w:rPr>
      </w:pPr>
      <w:r>
        <w:rPr>
          <w:lang w:val="fr-FR"/>
        </w:rPr>
        <w:t>Directeur de l’école : Dr MAHATODY Thomas</w:t>
      </w:r>
    </w:p>
    <w:p>
      <w:pPr>
        <w:pStyle w:val="style179"/>
        <w:numPr>
          <w:ilvl w:val="0"/>
          <w:numId w:val="13"/>
        </w:numPr>
        <w:rPr>
          <w:lang w:val="fr-FR"/>
        </w:rPr>
      </w:pPr>
      <w:r>
        <w:rPr>
          <w:lang w:val="fr-FR"/>
        </w:rPr>
        <w:t xml:space="preserve">Responsable de Mention Informatique : Dr RABETAFIKA Louis </w:t>
      </w:r>
      <w:r>
        <w:rPr>
          <w:lang w:val="fr-FR"/>
        </w:rPr>
        <w:t>Haja</w:t>
      </w:r>
    </w:p>
    <w:p>
      <w:pPr>
        <w:pStyle w:val="style179"/>
        <w:numPr>
          <w:ilvl w:val="0"/>
          <w:numId w:val="13"/>
        </w:numPr>
        <w:rPr>
          <w:lang w:val="fr-FR"/>
        </w:rPr>
      </w:pPr>
      <w:r>
        <w:rPr>
          <w:lang w:val="fr-FR"/>
        </w:rPr>
        <w:t xml:space="preserve">Responsable de Parcours GBD : Dr RALAIVAO Jean Christian </w:t>
      </w:r>
    </w:p>
    <w:p>
      <w:pPr>
        <w:pStyle w:val="style179"/>
        <w:numPr>
          <w:ilvl w:val="0"/>
          <w:numId w:val="13"/>
        </w:numPr>
        <w:rPr>
          <w:lang w:val="fr-FR"/>
        </w:rPr>
      </w:pPr>
      <w:r>
        <w:rPr>
          <w:lang w:val="fr-FR"/>
        </w:rPr>
        <w:t>Responsable de Parcours ASR : Mr SIAKA</w:t>
      </w:r>
    </w:p>
    <w:p>
      <w:pPr>
        <w:pStyle w:val="style179"/>
        <w:numPr>
          <w:ilvl w:val="0"/>
          <w:numId w:val="13"/>
        </w:numPr>
        <w:rPr>
          <w:lang w:val="fr-FR"/>
        </w:rPr>
      </w:pPr>
      <w:r>
        <w:rPr>
          <w:lang w:val="fr-FR"/>
        </w:rPr>
        <w:t>Responsable de Parcours IG : Mr GILANTE Gesazafy</w:t>
      </w:r>
    </w:p>
    <w:p>
      <w:pPr>
        <w:pStyle w:val="style179"/>
        <w:numPr>
          <w:ilvl w:val="0"/>
          <w:numId w:val="13"/>
        </w:numPr>
        <w:rPr>
          <w:lang w:val="fr-FR"/>
        </w:rPr>
      </w:pPr>
      <w:r>
        <w:rPr>
          <w:lang w:val="fr-FR"/>
        </w:rPr>
        <w:t>Responsable de Mention Intelligence Artificielle : Dr DIMBISOA William Germain</w:t>
      </w:r>
    </w:p>
    <w:p>
      <w:pPr>
        <w:pStyle w:val="style179"/>
        <w:numPr>
          <w:ilvl w:val="0"/>
          <w:numId w:val="13"/>
        </w:numPr>
        <w:rPr>
          <w:lang w:val="fr-FR"/>
        </w:rPr>
      </w:pPr>
      <w:r>
        <w:rPr>
          <w:lang w:val="fr-FR"/>
        </w:rPr>
        <w:t xml:space="preserve">Responsable de Parcours GID : Dr RATIANANTITRA </w:t>
      </w:r>
      <w:r>
        <w:rPr>
          <w:lang w:val="fr-FR"/>
        </w:rPr>
        <w:t>Volatiana</w:t>
      </w:r>
      <w:r>
        <w:rPr>
          <w:lang w:val="fr-FR"/>
        </w:rPr>
        <w:t xml:space="preserve"> Marielle</w:t>
      </w:r>
    </w:p>
    <w:p>
      <w:pPr>
        <w:pStyle w:val="style179"/>
        <w:numPr>
          <w:ilvl w:val="0"/>
          <w:numId w:val="13"/>
        </w:numPr>
        <w:rPr>
          <w:lang w:val="fr-FR"/>
        </w:rPr>
      </w:pPr>
      <w:r>
        <w:rPr>
          <w:lang w:val="fr-FR"/>
        </w:rPr>
        <w:t xml:space="preserve">Responsable de Parcours OCC : Dr RAZAFIMAHATRATRA </w:t>
      </w:r>
      <w:r>
        <w:rPr>
          <w:lang w:val="fr-FR"/>
        </w:rPr>
        <w:t>Hajarisena</w:t>
      </w:r>
    </w:p>
    <w:p>
      <w:pPr>
        <w:pStyle w:val="style179"/>
        <w:numPr>
          <w:ilvl w:val="0"/>
          <w:numId w:val="13"/>
        </w:numPr>
        <w:rPr>
          <w:lang w:val="fr-FR"/>
        </w:rPr>
      </w:pPr>
      <w:r>
        <w:rPr>
          <w:lang w:val="fr-FR"/>
        </w:rPr>
        <w:t>Enseignants permanents : 02 Professeurs Titulaires, 06 Maîtres de Conférences et 05 Assistants d’Enseignement Supérieur et de Recherche</w:t>
      </w:r>
    </w:p>
    <w:p>
      <w:pPr>
        <w:pStyle w:val="style179"/>
        <w:numPr>
          <w:ilvl w:val="0"/>
          <w:numId w:val="13"/>
        </w:numPr>
        <w:rPr>
          <w:lang w:val="fr-FR"/>
        </w:rPr>
      </w:pPr>
      <w:r>
        <w:rPr>
          <w:lang w:val="fr-FR"/>
        </w:rPr>
        <w:t>10 Enseignants vacataires</w:t>
      </w:r>
    </w:p>
    <w:p>
      <w:pPr>
        <w:pStyle w:val="style179"/>
        <w:numPr>
          <w:ilvl w:val="0"/>
          <w:numId w:val="13"/>
        </w:numPr>
        <w:rPr>
          <w:lang w:val="fr-FR"/>
        </w:rPr>
      </w:pPr>
      <w:r>
        <w:rPr>
          <w:lang w:val="fr-FR"/>
        </w:rPr>
        <w:t>23 Personnels Administratifs</w:t>
      </w:r>
    </w:p>
    <w:p>
      <w:pPr>
        <w:pStyle w:val="style0"/>
        <w:rPr/>
      </w:pPr>
    </w:p>
    <w:sectPr>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altName w:val="Sylfaen"/>
    <w:panose1 w:val="010a0502050003030303"/>
    <w:charset w:val="00"/>
    <w:family w:val="roman"/>
    <w:pitch w:val="variable"/>
    <w:sig w:usb0="04000687" w:usb1="00000000" w:usb2="00000000" w:usb3="00000000" w:csb0="0000009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B681140"/>
    <w:lvl w:ilvl="0" w:tplc="3FF86494">
      <w:start w:val="1"/>
      <w:numFmt w:val="bullet"/>
      <w:lvlText w:val="−"/>
      <w:lvlJc w:val="left"/>
      <w:pPr>
        <w:ind w:left="360" w:hanging="360"/>
      </w:pPr>
      <w:rPr>
        <w:rFonts w:ascii="Sylfaen" w:hAnsi="Sylfaen" w:hint="default"/>
      </w:rPr>
    </w:lvl>
    <w:lvl w:ilvl="1" w:tplc="20000003" w:tentative="1">
      <w:start w:val="1"/>
      <w:numFmt w:val="bullet"/>
      <w:lvlText w:val="o"/>
      <w:lvlJc w:val="left"/>
      <w:pPr>
        <w:ind w:left="1080" w:hanging="360"/>
      </w:pPr>
      <w:rPr>
        <w:rFonts w:ascii="Courier New" w:cs="Courier New" w:hAnsi="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cs="Courier New" w:hAnsi="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cs="Courier New" w:hAnsi="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D4DCA59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cs="Courier New" w:hAnsi="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cs="Courier New" w:hAnsi="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cs="Courier New" w:hAnsi="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55EA6BBC"/>
    <w:lvl w:ilvl="0" w:tplc="4768D9A6">
      <w:start w:val="1"/>
      <w:numFmt w:val="decimal"/>
      <w:pStyle w:val="style3"/>
      <w:lvlText w:val="1.  %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00000003"/>
    <w:multiLevelType w:val="hybridMultilevel"/>
    <w:tmpl w:val="EEBA1432"/>
    <w:lvl w:ilvl="0" w:tplc="3FF86494">
      <w:start w:val="1"/>
      <w:numFmt w:val="bullet"/>
      <w:lvlText w:val="−"/>
      <w:lvlJc w:val="left"/>
      <w:pPr>
        <w:ind w:left="1080" w:hanging="360"/>
      </w:pPr>
      <w:rPr>
        <w:rFonts w:ascii="Sylfaen" w:hAnsi="Sylfaen" w:hint="default"/>
      </w:rPr>
    </w:lvl>
    <w:lvl w:ilvl="1" w:tplc="20000003" w:tentative="1">
      <w:start w:val="1"/>
      <w:numFmt w:val="bullet"/>
      <w:lvlText w:val="o"/>
      <w:lvlJc w:val="left"/>
      <w:pPr>
        <w:ind w:left="1800" w:hanging="360"/>
      </w:pPr>
      <w:rPr>
        <w:rFonts w:ascii="Courier New" w:cs="Courier New" w:hAnsi="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cs="Courier New" w:hAnsi="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cs="Courier New" w:hAnsi="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284EAC86"/>
    <w:lvl w:ilvl="0" w:tplc="3FF86494">
      <w:start w:val="1"/>
      <w:numFmt w:val="bullet"/>
      <w:lvlText w:val="−"/>
      <w:lvlJc w:val="left"/>
      <w:pPr>
        <w:ind w:left="360" w:hanging="360"/>
      </w:pPr>
      <w:rPr>
        <w:rFonts w:ascii="Sylfaen" w:hAnsi="Sylfaen" w:hint="default"/>
      </w:rPr>
    </w:lvl>
    <w:lvl w:ilvl="1" w:tplc="20000003" w:tentative="1">
      <w:start w:val="1"/>
      <w:numFmt w:val="bullet"/>
      <w:lvlText w:val="o"/>
      <w:lvlJc w:val="left"/>
      <w:pPr>
        <w:ind w:left="1080" w:hanging="360"/>
      </w:pPr>
      <w:rPr>
        <w:rFonts w:ascii="Courier New" w:cs="Courier New" w:hAnsi="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cs="Courier New" w:hAnsi="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cs="Courier New" w:hAnsi="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AB54617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cs="Courier New" w:hAnsi="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cs="Courier New" w:hAnsi="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cs="Courier New" w:hAnsi="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1CB21D2C"/>
    <w:lvl w:ilvl="0" w:tplc="3FF86494">
      <w:start w:val="1"/>
      <w:numFmt w:val="bullet"/>
      <w:lvlText w:val="−"/>
      <w:lvlJc w:val="left"/>
      <w:pPr>
        <w:ind w:left="1080" w:hanging="360"/>
      </w:pPr>
      <w:rPr>
        <w:rFonts w:ascii="Sylfaen" w:hAnsi="Sylfaen" w:hint="default"/>
      </w:rPr>
    </w:lvl>
    <w:lvl w:ilvl="1" w:tplc="20000003" w:tentative="1">
      <w:start w:val="1"/>
      <w:numFmt w:val="bullet"/>
      <w:lvlText w:val="o"/>
      <w:lvlJc w:val="left"/>
      <w:pPr>
        <w:ind w:left="1800" w:hanging="360"/>
      </w:pPr>
      <w:rPr>
        <w:rFonts w:ascii="Courier New" w:cs="Courier New" w:hAnsi="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cs="Courier New" w:hAnsi="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cs="Courier New" w:hAnsi="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3ABCC0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cs="Courier New" w:hAnsi="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cs="Courier New" w:hAnsi="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cs="Courier New" w:hAnsi="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165C26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cs="Courier New" w:hAnsi="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cs="Courier New" w:hAnsi="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cs="Courier New" w:hAnsi="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9C5297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cs="Courier New" w:hAnsi="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cs="Courier New" w:hAnsi="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cs="Courier New" w:hAnsi="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33D2709A"/>
    <w:lvl w:ilvl="0" w:tplc="20000001">
      <w:start w:val="1"/>
      <w:numFmt w:val="bullet"/>
      <w:lvlText w:val=""/>
      <w:lvlJc w:val="left"/>
      <w:pPr>
        <w:ind w:left="36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cs="Courier New" w:hAnsi="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cs="Courier New" w:hAnsi="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A6D4C220"/>
    <w:lvl w:ilvl="0" w:tplc="AC606466">
      <w:start w:val="1"/>
      <w:numFmt w:val="decimal"/>
      <w:pStyle w:val="style2"/>
      <w:lvlText w:val="Chapitre %1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0000000C"/>
    <w:multiLevelType w:val="hybridMultilevel"/>
    <w:tmpl w:val="6AC44280"/>
    <w:lvl w:ilvl="0" w:tplc="3FF86494">
      <w:start w:val="1"/>
      <w:numFmt w:val="bullet"/>
      <w:lvlText w:val="−"/>
      <w:lvlJc w:val="left"/>
      <w:pPr>
        <w:ind w:left="720" w:hanging="360"/>
      </w:pPr>
      <w:rPr>
        <w:rFonts w:ascii="Sylfaen" w:hAnsi="Sylfaen"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8"/>
  </w:num>
  <w:num w:numId="5">
    <w:abstractNumId w:val="12"/>
  </w:num>
  <w:num w:numId="6">
    <w:abstractNumId w:val="10"/>
  </w:num>
  <w:num w:numId="7">
    <w:abstractNumId w:val="6"/>
  </w:num>
  <w:num w:numId="8">
    <w:abstractNumId w:val="3"/>
  </w:num>
  <w:num w:numId="9">
    <w:abstractNumId w:val="1"/>
  </w:num>
  <w:num w:numId="10">
    <w:abstractNumId w:val="7"/>
  </w:num>
  <w:num w:numId="11">
    <w:abstractNumId w:val="0"/>
  </w:num>
  <w:num w:numId="12">
    <w:abstractNumId w:val="4"/>
  </w:num>
  <w:num w:numId="13">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bidi="ar-SA" w:eastAsia="en-US"/>
      </w:rPr>
    </w:rPrDefault>
    <w:pPrDefault>
      <w:pPr>
        <w:spacing w:after="160" w:lineRule="auto" w:line="259"/>
      </w:pPr>
    </w:pPrDefault>
  </w:docDefaults>
  <w:style w:type="paragraph" w:default="1" w:styleId="style0">
    <w:name w:val="Normal"/>
    <w:next w:val="style0"/>
    <w:qFormat/>
    <w:pPr>
      <w:jc w:val="both"/>
    </w:pPr>
    <w:rPr>
      <w:rFonts w:ascii="Times New Roman" w:hAnsi="Times New Roman"/>
      <w:sz w:val="24"/>
    </w:rPr>
  </w:style>
  <w:style w:type="paragraph" w:styleId="style2">
    <w:name w:val="heading 2"/>
    <w:basedOn w:val="style0"/>
    <w:next w:val="style0"/>
    <w:link w:val="style4097"/>
    <w:qFormat/>
    <w:uiPriority w:val="9"/>
    <w:pPr>
      <w:keepNext/>
      <w:keepLines/>
      <w:numPr>
        <w:ilvl w:val="0"/>
        <w:numId w:val="1"/>
      </w:numPr>
      <w:spacing w:before="160" w:after="120"/>
      <w:jc w:val="left"/>
      <w:outlineLvl w:val="1"/>
    </w:pPr>
    <w:rPr>
      <w:rFonts w:cs="宋体" w:eastAsia="宋体"/>
      <w:b/>
      <w:sz w:val="28"/>
      <w:szCs w:val="26"/>
    </w:rPr>
  </w:style>
  <w:style w:type="paragraph" w:styleId="style3">
    <w:name w:val="heading 3"/>
    <w:basedOn w:val="style0"/>
    <w:next w:val="style0"/>
    <w:link w:val="style4098"/>
    <w:qFormat/>
    <w:uiPriority w:val="9"/>
    <w:pPr>
      <w:keepNext/>
      <w:keepLines/>
      <w:numPr>
        <w:ilvl w:val="0"/>
        <w:numId w:val="2"/>
      </w:numPr>
      <w:spacing w:before="40" w:after="0"/>
      <w:jc w:val="left"/>
      <w:outlineLvl w:val="2"/>
    </w:pPr>
    <w:rPr>
      <w:rFonts w:cs="宋体" w:eastAsia="宋体"/>
      <w:b/>
      <w:i/>
      <w:color w:val="000000"/>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itre 2 Car"/>
    <w:basedOn w:val="style65"/>
    <w:next w:val="style4097"/>
    <w:link w:val="style2"/>
    <w:uiPriority w:val="9"/>
    <w:rPr>
      <w:rFonts w:ascii="Times New Roman" w:cs="宋体" w:eastAsia="宋体" w:hAnsi="Times New Roman"/>
      <w:b/>
      <w:sz w:val="28"/>
      <w:szCs w:val="26"/>
    </w:rPr>
  </w:style>
  <w:style w:type="character" w:customStyle="1" w:styleId="style4098">
    <w:name w:val="Titre 3 Car"/>
    <w:basedOn w:val="style65"/>
    <w:next w:val="style4098"/>
    <w:link w:val="style3"/>
    <w:uiPriority w:val="9"/>
    <w:rPr>
      <w:rFonts w:ascii="Times New Roman" w:cs="宋体" w:eastAsia="宋体" w:hAnsi="Times New Roman"/>
      <w:b/>
      <w:i/>
      <w:color w:val="000000"/>
      <w:sz w:val="24"/>
      <w:szCs w:val="24"/>
    </w:r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39"/>
    <w:pPr>
      <w:spacing w:after="0" w:lineRule="auto" w:line="240"/>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Pr>
    <w:tcPr>
      <w:tcBorders/>
      <w:shd w:val="clear" w:color="auto" w:fill="ffffff"/>
    </w:tcPr>
  </w:style>
  <w:style w:type="paragraph" w:styleId="style179">
    <w:name w:val="List Paragraph"/>
    <w:basedOn w:val="style0"/>
    <w:next w:val="style179"/>
    <w:qFormat/>
    <w:uiPriority w:val="34"/>
    <w:pPr>
      <w:ind w:left="720"/>
      <w:contextualSpacing/>
    </w:pPr>
    <w:rPr>
      <w:szCs w:val="24"/>
    </w:rPr>
  </w:style>
  <w:style w:type="paragraph" w:styleId="style34">
    <w:name w:val="caption"/>
    <w:basedOn w:val="style0"/>
    <w:next w:val="style0"/>
    <w:qFormat/>
    <w:uiPriority w:val="35"/>
    <w:pPr>
      <w:spacing w:after="200" w:lineRule="auto" w:line="240"/>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2928</Words>
  <Pages>9</Pages>
  <Characters>17753</Characters>
  <Application>WPS Office</Application>
  <DocSecurity>0</DocSecurity>
  <Paragraphs>207</Paragraphs>
  <ScaleCrop>false</ScaleCrop>
  <LinksUpToDate>false</LinksUpToDate>
  <CharactersWithSpaces>20532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2024-11-16T06:24:19Z</dcterms:created>
  <dc:creator>Fitiavana Rakotosamimanana</dc:creator>
  <lastModifiedBy>M2010J19SG</lastModifiedBy>
  <dcterms:modified xsi:type="dcterms:W3CDTF">2024-11-16T06:24:19Z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e6a559dc5dce4636a8d1eafdaf6566c0</vt:lpwstr>
  </property>
</Properties>
</file>