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Compréhension du projet de plateforme d’orchestration des tests</w:t>
      </w:r>
    </w:p>
    <w:p>
      <w:r>
        <w:rPr>
          <w:b/>
        </w:rPr>
        <w:t>Note à soumettre à la Direction</w:t>
      </w:r>
    </w:p>
    <w:p>
      <w:r>
        <w:rPr>
          <w:b w:val="0"/>
        </w:rPr>
        <w:t>ODACE CONSULTING  |  28 octobre 2026  |  Version 1.0</w:t>
      </w:r>
    </w:p>
    <w:p>
      <w:r>
        <w:rPr>
          <w:b w:val="0"/>
        </w:rPr>
        <w:t>Objet : présenter notre compréhension du besoin, le fonctionnement attendu, l’organisation technique et la démarche de réalisation, avant l’engagement du développement.</w:t>
      </w:r>
    </w:p>
    <w:p>
      <w:pPr>
        <w:pStyle w:val="Heading2"/>
      </w:pPr>
      <w:r>
        <w:t>Synthèse pour la Direction</w:t>
      </w:r>
    </w:p>
    <w:p>
      <w:r>
        <w:rPr>
          <w:b w:val="0"/>
        </w:rPr>
        <w:t>Nous retenons comme base de travail la plateforme décrite dans les deux premiers dossiers ODACE. Elle doit fournir aux équipes un point central pour préparer, déclencher, suivre et analyser les tests de leurs applications. Elle pilote les outils de test existants, principalement JMeter et Selenium, et rassemble les résultats ainsi que les preuves d’exécution.</w:t>
      </w:r>
    </w:p>
    <w:p>
      <w:r>
        <w:rPr>
          <w:b w:val="0"/>
        </w:rPr>
        <w:t>Le projet comporte une interface web, une API, un moteur d’orchestration, des agents d’exécution et des connecteurs vers les outils de test. Sa valeur repose sur la fiabilité des campagnes, le contrôle des autorisations, la lisibilité des verdicts et la conservation de l’historique.</w:t>
      </w:r>
    </w:p>
    <w:p>
      <w:r>
        <w:rPr>
          <w:b w:val="0"/>
        </w:rPr>
        <w:t>La première version décrite dans le guide est centrée sur les tests. Le pilotage des déploiements, les approbations de livraison et le retour arrière relèvent d’un lot CI/CD optionnel. Nous conservons cette séparation pour structurer la réalisation.</w:t>
      </w:r>
    </w:p>
    <w:p>
      <w:pPr>
        <w:pStyle w:val="Heading2"/>
      </w:pPr>
      <w:r>
        <w:t>Première réalisation recommandée</w:t>
      </w:r>
    </w:p>
    <w:p>
      <w:r>
        <w:rPr>
          <w:b w:val="0"/>
        </w:rPr>
        <w:t>Construire un parcours complet sur une application pilote : un utilisateur autorisé choisit un script, demande son exécution, suit le travail d’un agent et consulte le rapport avec son verdict. Ce parcours sera d’abord vérifié avec un connecteur de démonstration, puis avec JMeter.</w:t>
      </w:r>
    </w:p>
    <w:p>
      <w:pPr>
        <w:pStyle w:val="Heading2"/>
      </w:pPr>
      <w:r>
        <w:t>Portée de cette note</w:t>
      </w:r>
    </w:p>
    <w:p>
      <w:r>
        <w:rPr>
          <w:b w:val="0"/>
        </w:rPr>
        <w:t>Cette note explique les deux dossiers et propose leur traduction en travaux de développement. Elle ne constitue ni une offre financière, ni un planning contractuel, ni un procès-verbal de conformité. Les recommandations complémentaires sont indiquées comme telles. Les références des sources et un glossaire figurent en dernière page.</w:t>
      </w:r>
    </w:p>
    <w:p>
      <w:r>
        <w:rPr>
          <w:b/>
        </w:rPr>
        <w:t>Décisions à préparer : application pilote, périmètre de la première livraison, outils effectivement utilisés, accès techniques, critères de recette et responsables des validations.</w:t>
      </w:r>
    </w:p>
    <w:p>
      <w:pPr>
        <w:pStyle w:val="Heading2"/>
      </w:pPr>
      <w:r>
        <w:t>Repères de lecture</w:t>
      </w:r>
    </w:p>
    <w:p>
      <w:r>
        <w:rPr>
          <w:b w:val="0"/>
        </w:rPr>
        <w:t>Besoin et fonctionnement : pages 2 à 4. Architecture, données et développement : pages 5 à 7. Réalisation et recette : pages 8 à 10. Exploitation et risques : pages 11 et 12. Validations, glossaire et sources : page 13.</w:t>
      </w:r>
    </w:p>
    <w:p>
      <w:r>
        <w:br w:type="page"/>
      </w:r>
    </w:p>
    <w:p>
      <w:pPr>
        <w:pStyle w:val="Heading1"/>
      </w:pPr>
      <w:r>
        <w:t>1 Le besoin et le périmètre du projet</w:t>
      </w:r>
    </w:p>
    <w:p>
      <w:pPr>
        <w:pStyle w:val="Heading2"/>
      </w:pPr>
      <w:r>
        <w:t>Le problème à résoudre</w:t>
      </w:r>
    </w:p>
    <w:p>
      <w:r>
        <w:rPr>
          <w:b w:val="0"/>
        </w:rPr>
        <w:t>Lorsque les tests sont exécutés depuis plusieurs postes ou outils, leurs paramètres et rapports se dispersent. Il devient difficile de comparer deux campagnes, de retrouver le scénario utilisé ou de savoir qui a approuvé le résultat. Des lancements simultanés peuvent également perturber une même application et fausser les mesures.</w:t>
      </w:r>
    </w:p>
    <w:p>
      <w:r>
        <w:rPr>
          <w:b w:val="0"/>
        </w:rPr>
        <w:t>La plateforme doit organiser ces opérations et conserver un historique exploitable. Une campagne correspond ici à un ensemble organisé de tests ; une exécution correspond au lancement identifié d’un script sur une cible donnée.</w:t>
      </w:r>
    </w:p>
    <w:tbl>
      <w:tblPr>
        <w:tblW w:type="auto" w:w="0"/>
        <w:jc w:val="center"/>
        <w:tblLayout w:type="fixed"/>
        <w:tblLook w:firstColumn="1" w:firstRow="1" w:lastColumn="0" w:lastRow="0" w:noHBand="0" w:noVBand="1" w:val="04A0"/>
      </w:tblPr>
      <w:tblGrid>
        <w:gridCol w:w="2448"/>
        <w:gridCol w:w="7488"/>
      </w:tblGrid>
      <w:tr>
        <w:trPr>
          <w:tblHeader/>
          <w:cantSplit/>
        </w:trPr>
        <w:tc>
          <w:tcPr>
            <w:tcW w:type="dxa" w:w="2448"/>
            <w:vAlign w:val="center"/>
            <w:shd w:fill="24445C"/>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9"/>
              </w:rPr>
              <w:t>Fonction attendue</w:t>
            </w:r>
          </w:p>
        </w:tc>
        <w:tc>
          <w:tcPr>
            <w:tcW w:type="dxa" w:w="7488"/>
            <w:vAlign w:val="center"/>
            <w:shd w:fill="24445C"/>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9"/>
              </w:rPr>
              <w:t>Traduction concrète</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Gérer le référentiel</w:t>
            </w:r>
          </w:p>
        </w:tc>
        <w:tc>
          <w:tcPr>
            <w:tcW w:type="dxa" w:w="74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Déclarer projets, applications, environnements, équipes et cibles autorisées.</w:t>
            </w:r>
          </w:p>
        </w:tc>
      </w:tr>
      <w:tr>
        <w:trPr>
          <w:cantSplit/>
        </w:trPr>
        <w:tc>
          <w:tcPr>
            <w:tcW w:type="dxa" w:w="2448"/>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Gérer les scripts</w:t>
            </w:r>
          </w:p>
        </w:tc>
        <w:tc>
          <w:tcPr>
            <w:tcW w:type="dxa" w:w="7488"/>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Enregistrer les scénarios, leurs versions et leurs empreintes.</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Déclencher les campagnes</w:t>
            </w:r>
          </w:p>
        </w:tc>
        <w:tc>
          <w:tcPr>
            <w:tcW w:type="dxa" w:w="74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Lancer manuellement, par calendrier ou depuis un système externe.</w:t>
            </w:r>
          </w:p>
        </w:tc>
      </w:tr>
      <w:tr>
        <w:trPr>
          <w:cantSplit/>
        </w:trPr>
        <w:tc>
          <w:tcPr>
            <w:tcW w:type="dxa" w:w="2448"/>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Organiser les exécutions</w:t>
            </w:r>
          </w:p>
        </w:tc>
        <w:tc>
          <w:tcPr>
            <w:tcW w:type="dxa" w:w="7488"/>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Répartir le travail, appliquer les quotas et empêcher les doubles lancements.</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Exploiter les résultats</w:t>
            </w:r>
          </w:p>
        </w:tc>
        <w:tc>
          <w:tcPr>
            <w:tcW w:type="dxa" w:w="74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Normaliser les rapports, calculer les verdicts et permettre une validation humaine.</w:t>
            </w:r>
          </w:p>
        </w:tc>
      </w:tr>
      <w:tr>
        <w:trPr>
          <w:cantSplit/>
        </w:trPr>
        <w:tc>
          <w:tcPr>
            <w:tcW w:type="dxa" w:w="2448"/>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Conserver les preuves</w:t>
            </w:r>
          </w:p>
        </w:tc>
        <w:tc>
          <w:tcPr>
            <w:tcW w:type="dxa" w:w="7488"/>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Retrouver les paramètres non secrets, fichiers, événements et auteurs des actions.</w:t>
            </w:r>
          </w:p>
        </w:tc>
      </w:tr>
    </w:tbl>
    <w:p>
      <w:pPr>
        <w:spacing w:after="0"/>
      </w:pPr>
    </w:p>
    <w:p>
      <w:pPr>
        <w:pStyle w:val="Heading2"/>
      </w:pPr>
      <w:r>
        <w:t>Limites à conserver dans la compréhension</w:t>
      </w:r>
    </w:p>
    <w:p>
      <w:r>
        <w:rPr>
          <w:b w:val="0"/>
        </w:rPr>
        <w:t>La plateforme ne crée pas automatiquement les scripts de test. Leur rédaction et leur maintenance doivent être attribuées à des personnes identifiées. Elle ne remplace pas non plus les outils de test ni le pipeline existant du client.</w:t>
      </w:r>
    </w:p>
    <w:p>
      <w:r>
        <w:rPr>
          <w:b w:val="0"/>
        </w:rPr>
        <w:t>Les tests d’API sont prévus dans l’architecture, mais leur outil et leur livraison doivent être précisés. Selenium est développé en premier dans le guide ; Playwright est présenté comme une extension après qualification. Le pilotage des livraisons reste un lot distinct.</w:t>
      </w:r>
    </w:p>
    <w:p>
      <w:pPr>
        <w:pStyle w:val="Heading2"/>
      </w:pPr>
      <w:r>
        <w:t>Hypothèses de démarrage</w:t>
      </w:r>
    </w:p>
    <w:p>
      <w:r>
        <w:rPr>
          <w:b w:val="0"/>
        </w:rPr>
        <w:t>Les dossiers envisagent une application pilote, des versions d’outils qualifiées, un hébergement sur site ou sur des serveurs privés du client et l’utilisation de Docker. Les outils, capacités, accès et durées de conservation restent à confirmer au cadrage. [S1, chapitres 2 et 14 ; S2, introduction et chapitre A]</w:t>
      </w:r>
    </w:p>
    <w:p>
      <w:r>
        <w:br w:type="page"/>
      </w:r>
    </w:p>
    <w:p>
      <w:pPr>
        <w:pStyle w:val="Heading1"/>
      </w:pPr>
      <w:r>
        <w:t>2 Le fonctionnement vu par un utilisateur</w:t>
      </w:r>
    </w:p>
    <w:p>
      <w:pPr>
        <w:pStyle w:val="Heading2"/>
      </w:pPr>
      <w:r>
        <w:t>Exemple de campagne sur une application de gestion</w:t>
      </w:r>
    </w:p>
    <w:p>
      <w:r>
        <w:rPr>
          <w:b w:val="0"/>
        </w:rPr>
        <w:t>L’exemple suivant illustre le fonctionnement attendu. Ses paramètres sont pédagogiques et ne constituent pas des exigences validées. Le testeur doit vérifier une nouvelle version d’une application de gestion sur l’environnement de recette, avant son utilisation réelle.</w:t>
      </w:r>
    </w:p>
    <w:tbl>
      <w:tblPr>
        <w:tblW w:type="auto" w:w="0"/>
        <w:jc w:val="center"/>
        <w:tblLayout w:type="fixed"/>
        <w:tblLook w:firstColumn="1" w:firstRow="1" w:lastColumn="0" w:lastRow="0" w:noHBand="0" w:noVBand="1" w:val="04A0"/>
      </w:tblPr>
      <w:tblGrid>
        <w:gridCol w:w="1656"/>
        <w:gridCol w:w="8280"/>
      </w:tblGrid>
      <w:tr>
        <w:trPr>
          <w:tblHeader/>
          <w:cantSplit/>
        </w:trPr>
        <w:tc>
          <w:tcPr>
            <w:tcW w:type="dxa" w:w="1656"/>
            <w:vAlign w:val="center"/>
            <w:shd w:fill="24445C"/>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9"/>
              </w:rPr>
              <w:t>Étape</w:t>
            </w:r>
          </w:p>
        </w:tc>
        <w:tc>
          <w:tcPr>
            <w:tcW w:type="dxa" w:w="8280"/>
            <w:vAlign w:val="center"/>
            <w:shd w:fill="24445C"/>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9"/>
              </w:rPr>
              <w:t>Action et comportement attendu</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1 Choisir</w:t>
            </w:r>
          </w:p>
        </w:tc>
        <w:tc>
          <w:tcPr>
            <w:tcW w:type="dxa" w:w="82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Le testeur sélectionne le projet, l’environnement de recette et la cible autorisée.</w:t>
            </w:r>
          </w:p>
        </w:tc>
      </w:tr>
      <w:tr>
        <w:trPr>
          <w:cantSplit/>
        </w:trPr>
        <w:tc>
          <w:tcPr>
            <w:tcW w:type="dxa" w:w="1656"/>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2 Préparer</w:t>
            </w:r>
          </w:p>
        </w:tc>
        <w:tc>
          <w:tcPr>
            <w:tcW w:type="dxa" w:w="82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Il choisit une version de script et renseigne les paramètres autorisés.</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3 Contrôler</w:t>
            </w:r>
          </w:p>
        </w:tc>
        <w:tc>
          <w:tcPr>
            <w:tcW w:type="dxa" w:w="82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La plateforme vérifie les droits, la cible, les plages horaires et les limites.</w:t>
            </w:r>
          </w:p>
        </w:tc>
      </w:tr>
      <w:tr>
        <w:trPr>
          <w:cantSplit/>
        </w:trPr>
        <w:tc>
          <w:tcPr>
            <w:tcW w:type="dxa" w:w="1656"/>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4 Exécuter</w:t>
            </w:r>
          </w:p>
        </w:tc>
        <w:tc>
          <w:tcPr>
            <w:tcW w:type="dxa" w:w="82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La demande attend si nécessaire ; un agent lance l’outil dans un conteneur isolé.</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5 Suivre</w:t>
            </w:r>
          </w:p>
        </w:tc>
        <w:tc>
          <w:tcPr>
            <w:tcW w:type="dxa" w:w="82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Le testeur consulte l’avancement, les journaux et les mesures disponibles.</w:t>
            </w:r>
          </w:p>
        </w:tc>
      </w:tr>
      <w:tr>
        <w:trPr>
          <w:cantSplit/>
        </w:trPr>
        <w:tc>
          <w:tcPr>
            <w:tcW w:type="dxa" w:w="1656"/>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6 Analyser</w:t>
            </w:r>
          </w:p>
        </w:tc>
        <w:tc>
          <w:tcPr>
            <w:tcW w:type="dxa" w:w="82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La plateforme lit les rapports, évalue les critères et conserve les preuves.</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7 Valider</w:t>
            </w:r>
          </w:p>
        </w:tc>
        <w:tc>
          <w:tcPr>
            <w:tcW w:type="dxa" w:w="82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Le responsable technique examine le résultat et enregistre sa décision.</w:t>
            </w:r>
          </w:p>
        </w:tc>
      </w:tr>
    </w:tbl>
    <w:p>
      <w:pPr>
        <w:spacing w:after="0"/>
      </w:pPr>
    </w:p>
    <w:p>
      <w:pPr>
        <w:pStyle w:val="Heading2"/>
      </w:pPr>
      <w:r>
        <w:t>Deux outils pour deux questions différentes</w:t>
      </w:r>
    </w:p>
    <w:p>
      <w:r>
        <w:rPr>
          <w:b w:val="0"/>
        </w:rPr>
        <w:t>JMeter génère des requêtes pour évaluer la charge, les temps de réponse et les erreurs. Selenium pilote un navigateur pour vérifier des parcours fonctionnels, par exemple la connexion et l’enregistrement d’une opération. Dans le guide, Selenium ne doit pas être utilisé comme générateur de charge.</w:t>
      </w:r>
    </w:p>
    <w:p>
      <w:pPr>
        <w:pStyle w:val="Heading2"/>
      </w:pPr>
      <w:r>
        <w:t>Trois informations à afficher séparément</w:t>
      </w:r>
    </w:p>
    <w:tbl>
      <w:tblPr>
        <w:tblW w:type="auto" w:w="0"/>
        <w:jc w:val="center"/>
        <w:tblLayout w:type="fixed"/>
        <w:tblLook w:firstColumn="1" w:firstRow="1" w:lastColumn="0" w:lastRow="0" w:noHBand="0" w:noVBand="1" w:val="04A0"/>
      </w:tblPr>
      <w:tblGrid>
        <w:gridCol w:w="1584"/>
        <w:gridCol w:w="4032"/>
        <w:gridCol w:w="4320"/>
      </w:tblGrid>
      <w:tr>
        <w:trPr>
          <w:tblHeader/>
          <w:cantSplit/>
        </w:trPr>
        <w:tc>
          <w:tcPr>
            <w:tcW w:type="dxa" w:w="1584"/>
            <w:vAlign w:val="center"/>
            <w:shd w:fill="24445C"/>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9"/>
              </w:rPr>
              <w:t>Dimension</w:t>
            </w:r>
          </w:p>
        </w:tc>
        <w:tc>
          <w:tcPr>
            <w:tcW w:type="dxa" w:w="4032"/>
            <w:vAlign w:val="center"/>
            <w:shd w:fill="24445C"/>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9"/>
              </w:rPr>
              <w:t>Question traitée</w:t>
            </w:r>
          </w:p>
        </w:tc>
        <w:tc>
          <w:tcPr>
            <w:tcW w:type="dxa" w:w="4320"/>
            <w:vAlign w:val="center"/>
            <w:shd w:fill="24445C"/>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9"/>
              </w:rPr>
              <w:t>Exemples</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État</w:t>
            </w:r>
          </w:p>
        </w:tc>
        <w:tc>
          <w:tcPr>
            <w:tcW w:type="dxa" w:w="40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Le test a-t-il pu se dérouler ?</w:t>
            </w:r>
          </w:p>
        </w:tc>
        <w:tc>
          <w:tcPr>
            <w:tcW w:type="dxa" w:w="43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En attente, en cours, terminé, en erreur, indéterminé.</w:t>
            </w:r>
          </w:p>
        </w:tc>
      </w:tr>
      <w:tr>
        <w:trPr>
          <w:cantSplit/>
        </w:trPr>
        <w:tc>
          <w:tcPr>
            <w:tcW w:type="dxa" w:w="1584"/>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Résultat</w:t>
            </w:r>
          </w:p>
        </w:tc>
        <w:tc>
          <w:tcPr>
            <w:tcW w:type="dxa" w:w="4032"/>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Les critères sont-ils respectés et la mesure exploitable ?</w:t>
            </w:r>
          </w:p>
        </w:tc>
        <w:tc>
          <w:tcPr>
            <w:tcW w:type="dxa" w:w="432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Conforme, non conforme, informatif, non fiable.</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Validation</w:t>
            </w:r>
          </w:p>
        </w:tc>
        <w:tc>
          <w:tcPr>
            <w:tcW w:type="dxa" w:w="40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Un responsable a-t-il examiné le résultat ?</w:t>
            </w:r>
          </w:p>
        </w:tc>
        <w:tc>
          <w:tcPr>
            <w:tcW w:type="dxa" w:w="43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En attente, validée, refusée.</w:t>
            </w:r>
          </w:p>
        </w:tc>
      </w:tr>
    </w:tbl>
    <w:p>
      <w:pPr>
        <w:spacing w:after="0"/>
      </w:pPr>
    </w:p>
    <w:p>
      <w:r>
        <w:rPr>
          <w:b w:val="0"/>
        </w:rPr>
        <w:t>Un test terminé peut être non conforme et rester en attente de validation. Si le générateur de charge sature, les mesures sont signalées comme non fiables. Une perte de contact avec un agent peut rendre l’issue indéterminée. [S1, chapitre 4 ; S2, chapitre 0]</w:t>
      </w:r>
    </w:p>
    <w:p>
      <w:r>
        <w:br w:type="page"/>
      </w:r>
    </w:p>
    <w:p>
      <w:pPr>
        <w:pStyle w:val="Heading1"/>
      </w:pPr>
      <w:r>
        <w:t>3 Les acteurs et les règles de contrôle</w:t>
      </w:r>
    </w:p>
    <w:p>
      <w:r>
        <w:rPr>
          <w:b w:val="0"/>
        </w:rPr>
        <w:t>Les dossiers prévoient sept rôles humains. Les permissions sont liées aux projets et doivent être vérifiées côté serveur. La matrice définitive sera validée avec les responsables du client.</w:t>
      </w:r>
    </w:p>
    <w:tbl>
      <w:tblPr>
        <w:tblW w:type="auto" w:w="0"/>
        <w:jc w:val="center"/>
        <w:tblLayout w:type="fixed"/>
        <w:tblLook w:firstColumn="1" w:firstRow="1" w:lastColumn="0" w:lastRow="0" w:noHBand="0" w:noVBand="1" w:val="04A0"/>
      </w:tblPr>
      <w:tblGrid>
        <w:gridCol w:w="2160"/>
        <w:gridCol w:w="7776"/>
      </w:tblGrid>
      <w:tr>
        <w:trPr>
          <w:tblHeader/>
          <w:cantSplit/>
        </w:trPr>
        <w:tc>
          <w:tcPr>
            <w:tcW w:type="dxa" w:w="2160"/>
            <w:vAlign w:val="center"/>
            <w:shd w:fill="24445C"/>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9"/>
              </w:rPr>
              <w:t>Acteur</w:t>
            </w:r>
          </w:p>
        </w:tc>
        <w:tc>
          <w:tcPr>
            <w:tcW w:type="dxa" w:w="7776"/>
            <w:vAlign w:val="center"/>
            <w:shd w:fill="24445C"/>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9"/>
              </w:rPr>
              <w:t>Responsabilité principale</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Administrateur</w:t>
            </w:r>
          </w:p>
        </w:tc>
        <w:tc>
          <w:tcPr>
            <w:tcW w:type="dxa" w:w="77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Paramétrage global, rôles, intégrations et sécurité.</w:t>
            </w:r>
          </w:p>
        </w:tc>
      </w:tr>
      <w:tr>
        <w:trPr>
          <w:cantSplit/>
        </w:trPr>
        <w:tc>
          <w:tcPr>
            <w:tcW w:type="dxa" w:w="216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Responsable</w:t>
            </w:r>
          </w:p>
        </w:tc>
        <w:tc>
          <w:tcPr>
            <w:tcW w:type="dxa" w:w="7776"/>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Gestion des projets, équipes, politiques et quotas.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Tech lead</w:t>
            </w:r>
          </w:p>
        </w:tc>
        <w:tc>
          <w:tcPr>
            <w:tcW w:type="dxa" w:w="77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Définition des seuils et validation technique des résultats.</w:t>
            </w:r>
          </w:p>
        </w:tc>
      </w:tr>
      <w:tr>
        <w:trPr>
          <w:cantSplit/>
        </w:trPr>
        <w:tc>
          <w:tcPr>
            <w:tcW w:type="dxa" w:w="216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Développeur</w:t>
            </w:r>
          </w:p>
        </w:tc>
        <w:tc>
          <w:tcPr>
            <w:tcW w:type="dxa" w:w="7776"/>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Consultation et déclenchement sur les cibles autorisées.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Testeur ou QA</w:t>
            </w:r>
          </w:p>
        </w:tc>
        <w:tc>
          <w:tcPr>
            <w:tcW w:type="dxa" w:w="77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Gestion des scripts, lancement et analyse des campagnes.</w:t>
            </w:r>
          </w:p>
        </w:tc>
      </w:tr>
      <w:tr>
        <w:trPr>
          <w:cantSplit/>
        </w:trPr>
        <w:tc>
          <w:tcPr>
            <w:tcW w:type="dxa" w:w="216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Exploitation</w:t>
            </w:r>
          </w:p>
        </w:tc>
        <w:tc>
          <w:tcPr>
            <w:tcW w:type="dxa" w:w="7776"/>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Surveillance des agents, incidents et arrêt d’urgence.</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Auditeur</w:t>
            </w:r>
          </w:p>
        </w:tc>
        <w:tc>
          <w:tcPr>
            <w:tcW w:type="dxa" w:w="77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Consultation et export des preuves en lecture seule.</w:t>
            </w:r>
          </w:p>
        </w:tc>
      </w:tr>
    </w:tbl>
    <w:p>
      <w:pPr>
        <w:spacing w:after="0"/>
      </w:pPr>
    </w:p>
    <w:p>
      <w:pPr>
        <w:pStyle w:val="Heading2"/>
      </w:pPr>
      <w:r>
        <w:t>Contrôles avant un lancement</w:t>
      </w:r>
    </w:p>
    <w:p>
      <w:r>
        <w:rPr>
          <w:b w:val="0"/>
        </w:rPr>
        <w:t>La plateforme vérifie l’identité et les droits de l’utilisateur, l’autorisation de la cible pour ce type de test, la plage horaire, les quotas et l’état de l’arrêt d’urgence. Pour une charge, elle vérifie aussi que la cible n’est pas déjà réservée par une autre exécution.</w:t>
      </w:r>
    </w:p>
    <w:p>
      <w:r>
        <w:rPr>
          <w:b w:val="0"/>
        </w:rPr>
        <w:t>Une demande répétée avec la même clé d’idempotence doit retrouver la même exécution. Cette protection évite qu’un double clic ou une répétition réseau crée deux campagnes identiques. Les contraintes de base de données et les contrôles de l’agent doivent contribuer à cette garantie.</w:t>
      </w:r>
    </w:p>
    <w:p>
      <w:pPr>
        <w:pStyle w:val="Heading2"/>
      </w:pPr>
      <w:r>
        <w:t>Comportement en cas de problème</w:t>
      </w:r>
    </w:p>
    <w:p>
      <w:pPr>
        <w:pStyle w:val="ListBullet"/>
      </w:pPr>
      <w:r>
        <w:t>Un dépassement de quota laisse la demande en attente selon les règles du guide ; une cible non autorisée ou une plage interdite entraîne un refus explicite.</w:t>
      </w:r>
    </w:p>
    <w:p>
      <w:pPr>
        <w:pStyle w:val="ListBullet"/>
      </w:pPr>
      <w:r>
        <w:t>L’arrêt d’urgence bloque les nouveaux départs et ordonne l’arrêt des travaux concernés. Son efficacité doit être vérifiée sur les agents.</w:t>
      </w:r>
    </w:p>
    <w:p>
      <w:pPr>
        <w:pStyle w:val="ListBullet"/>
      </w:pPr>
      <w:r>
        <w:t>Une charge dont l’issue est inconnue ne se relance pas automatiquement. Une intervention humaine est requise.</w:t>
      </w:r>
    </w:p>
    <w:p>
      <w:pPr>
        <w:pStyle w:val="ListBullet"/>
      </w:pPr>
      <w:r>
        <w:t>Une seule nouvelle tentative est prévue pour un test Selenium en échec ; un succès à cette tentative doit apparaître comme instable.</w:t>
      </w:r>
    </w:p>
    <w:p>
      <w:r>
        <w:rPr>
          <w:b w:val="0"/>
        </w:rPr>
        <w:t>La validation technique d’un résultat est distincte de l’administration de la plateforme. Les actions sensibles et les refus doivent être tracés. [S1, chapitres 4 et 10 ; S2, étapes 2 et 3]</w:t>
      </w:r>
    </w:p>
    <w:p>
      <w:r>
        <w:br w:type="page"/>
      </w:r>
    </w:p>
    <w:p>
      <w:pPr>
        <w:pStyle w:val="Heading1"/>
      </w:pPr>
      <w:r>
        <w:t>4 Les composants techniques et leurs échanges</w:t>
      </w:r>
    </w:p>
    <w:p>
      <w:r>
        <w:rPr>
          <w:b w:val="0"/>
        </w:rPr>
        <w:t>Le navigateur sert à commander et à consulter. Les agents, installés sur des machines d’exécution, réalisent les tests. L’application ciblée est le système qui reçoit les requêtes ou les actions du scénario.</w:t>
      </w:r>
    </w:p>
    <w:tbl>
      <w:tblPr>
        <w:tblW w:type="auto" w:w="0"/>
        <w:jc w:val="center"/>
        <w:tblLayout w:type="fixed"/>
        <w:tblLook w:firstColumn="1" w:firstRow="1" w:lastColumn="0" w:lastRow="0" w:noHBand="0" w:noVBand="1" w:val="04A0"/>
      </w:tblPr>
      <w:tblGrid>
        <w:gridCol w:w="1728"/>
        <w:gridCol w:w="4392"/>
        <w:gridCol w:w="3816"/>
      </w:tblGrid>
      <w:tr>
        <w:trPr>
          <w:tblHeader/>
          <w:cantSplit/>
        </w:trPr>
        <w:tc>
          <w:tcPr>
            <w:tcW w:type="dxa" w:w="1728"/>
            <w:vAlign w:val="center"/>
            <w:shd w:fill="24445C"/>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9"/>
              </w:rPr>
              <w:t>Composant</w:t>
            </w:r>
          </w:p>
        </w:tc>
        <w:tc>
          <w:tcPr>
            <w:tcW w:type="dxa" w:w="4392"/>
            <w:vAlign w:val="center"/>
            <w:shd w:fill="24445C"/>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9"/>
              </w:rPr>
              <w:t>Rôle</w:t>
            </w:r>
          </w:p>
        </w:tc>
        <w:tc>
          <w:tcPr>
            <w:tcW w:type="dxa" w:w="3816"/>
            <w:vAlign w:val="center"/>
            <w:shd w:fill="24445C"/>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9"/>
              </w:rPr>
              <w:t>Choix décrit dans les dossiers</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Interface web</w:t>
            </w:r>
          </w:p>
        </w:tc>
        <w:tc>
          <w:tcPr>
            <w:tcW w:type="dxa" w:w="43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Écrans de lancement, suivi, résultats et administration.</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React, TypeScript, Vite.</w:t>
            </w:r>
          </w:p>
        </w:tc>
      </w:tr>
      <w:tr>
        <w:trPr>
          <w:cantSplit/>
        </w:trPr>
        <w:tc>
          <w:tcPr>
            <w:tcW w:type="dxa" w:w="1728"/>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API</w:t>
            </w:r>
          </w:p>
        </w:tc>
        <w:tc>
          <w:tcPr>
            <w:tcW w:type="dxa" w:w="4392"/>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Entrée des demandes, authentification, droits et audit.</w:t>
            </w:r>
          </w:p>
        </w:tc>
        <w:tc>
          <w:tcPr>
            <w:tcW w:type="dxa" w:w="3816"/>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Python 3.12, FastAPI, Pydantic.</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Orchestrateur</w:t>
            </w:r>
          </w:p>
        </w:tc>
        <w:tc>
          <w:tcPr>
            <w:tcW w:type="dxa" w:w="43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États, attribution des tâches, quotas et surveillance.</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Python ; planificateur intégré.</w:t>
            </w:r>
          </w:p>
        </w:tc>
      </w:tr>
      <w:tr>
        <w:trPr>
          <w:cantSplit/>
        </w:trPr>
        <w:tc>
          <w:tcPr>
            <w:tcW w:type="dxa" w:w="1728"/>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File de tâches</w:t>
            </w:r>
          </w:p>
        </w:tc>
        <w:tc>
          <w:tcPr>
            <w:tcW w:type="dxa" w:w="4392"/>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Transport des travaux en attente.</w:t>
            </w:r>
          </w:p>
        </w:tc>
        <w:tc>
          <w:tcPr>
            <w:tcW w:type="dxa" w:w="3816"/>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Redis et Dramatiq ; Celery à arbitrer.</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Agents</w:t>
            </w:r>
          </w:p>
        </w:tc>
        <w:tc>
          <w:tcPr>
            <w:tcW w:type="dxa" w:w="43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Lancement des conteneurs et collecte des sorties.</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Python et Docker.</w:t>
            </w:r>
          </w:p>
        </w:tc>
      </w:tr>
      <w:tr>
        <w:trPr>
          <w:cantSplit/>
        </w:trPr>
        <w:tc>
          <w:tcPr>
            <w:tcW w:type="dxa" w:w="1728"/>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Connecteurs</w:t>
            </w:r>
          </w:p>
        </w:tc>
        <w:tc>
          <w:tcPr>
            <w:tcW w:type="dxa" w:w="4392"/>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Préparation et lecture des résultats des outils.</w:t>
            </w:r>
          </w:p>
        </w:tc>
        <w:tc>
          <w:tcPr>
            <w:tcW w:type="dxa" w:w="3816"/>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JMeter, Selenium ; extensions qualifiées.</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Données et fichiers</w:t>
            </w:r>
          </w:p>
        </w:tc>
        <w:tc>
          <w:tcPr>
            <w:tcW w:type="dxa" w:w="43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État et configuration ; scripts et rapports.</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PostgreSQL 16 ; MinIO compatible S3.</w:t>
            </w:r>
          </w:p>
        </w:tc>
      </w:tr>
      <w:tr>
        <w:trPr>
          <w:cantSplit/>
        </w:trPr>
        <w:tc>
          <w:tcPr>
            <w:tcW w:type="dxa" w:w="1728"/>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Identité et secrets</w:t>
            </w:r>
          </w:p>
        </w:tc>
        <w:tc>
          <w:tcPr>
            <w:tcW w:type="dxa" w:w="4392"/>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Connexion des utilisateurs et protection des identifiants.</w:t>
            </w:r>
          </w:p>
        </w:tc>
        <w:tc>
          <w:tcPr>
            <w:tcW w:type="dxa" w:w="3816"/>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Keycloak OIDC ; Vault ou équivalent.</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Supervision</w:t>
            </w:r>
          </w:p>
        </w:tc>
        <w:tc>
          <w:tcPr>
            <w:tcW w:type="dxa" w:w="43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Indicateurs, traces et tableaux de bord.</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Prometheus, Grafana, OpenTelemetry.</w:t>
            </w:r>
          </w:p>
        </w:tc>
      </w:tr>
    </w:tbl>
    <w:p>
      <w:pPr>
        <w:spacing w:after="0"/>
      </w:pPr>
    </w:p>
    <w:p>
      <w:pPr>
        <w:pStyle w:val="Heading2"/>
      </w:pPr>
      <w:r>
        <w:t>Chemin suivi par une demande</w:t>
      </w:r>
    </w:p>
    <w:p>
      <w:r>
        <w:rPr>
          <w:b w:val="0"/>
        </w:rPr>
        <w:t>L’API enregistre la demande autorisée. L’orchestrateur décide de son départ et affecte un agent. Celui-ci prépare le conteneur avec le connecteur adapté, exécute le script et remonte les événements. Les fichiers sont déposés dans le stockage ; les résultats normalisés sont évalués puis exposés dans l’interface et par API.</w:t>
      </w:r>
    </w:p>
    <w:p>
      <w:pPr>
        <w:pStyle w:val="Heading2"/>
      </w:pPr>
      <w:r>
        <w:t>Séparation des responsabilités</w:t>
      </w:r>
    </w:p>
    <w:p>
      <w:r>
        <w:rPr>
          <w:b w:val="0"/>
        </w:rPr>
        <w:t>L’orchestrateur reste propriétaire des transitions d’état. L’agent rapporte les faits observés ; le connecteur traduit les sorties propres à son outil. Nous recommandons de centraliser le verdict final dans un moteur de règles commun pour éviter plusieurs interprétations des seuils.</w:t>
      </w:r>
    </w:p>
    <w:p>
      <w:r>
        <w:rPr>
          <w:b w:val="0"/>
        </w:rPr>
        <w:t>Les versions ci-dessus sont celles des documents sources. Leur compatibilité et leur maintien en conditions de sécurité seront vérifiés avant installation. [S1, chapitres 6 et 8 ; S2, chapitre A]</w:t>
      </w:r>
    </w:p>
    <w:p>
      <w:r>
        <w:br w:type="page"/>
      </w:r>
    </w:p>
    <w:p>
      <w:pPr>
        <w:pStyle w:val="Heading1"/>
      </w:pPr>
      <w:r>
        <w:t>5 Les données et les preuves à conserver</w:t>
      </w:r>
    </w:p>
    <w:p>
      <w:r>
        <w:rPr>
          <w:b w:val="0"/>
        </w:rPr>
        <w:t>Chaque exécution doit rester explicable après sa fin. Nous devons pouvoir retrouver le script exact, les paramètres utilisés, la cible, le demandeur, les événements, les mesures et la décision humaine. Cette traçabilité soutient la recette et l’analyse des incidents.</w:t>
      </w:r>
    </w:p>
    <w:tbl>
      <w:tblPr>
        <w:tblW w:type="auto" w:w="0"/>
        <w:jc w:val="center"/>
        <w:tblLayout w:type="fixed"/>
        <w:tblLook w:firstColumn="1" w:firstRow="1" w:lastColumn="0" w:lastRow="0" w:noHBand="0" w:noVBand="1" w:val="04A0"/>
      </w:tblPr>
      <w:tblGrid>
        <w:gridCol w:w="1728"/>
        <w:gridCol w:w="3312"/>
        <w:gridCol w:w="4896"/>
      </w:tblGrid>
      <w:tr>
        <w:trPr>
          <w:tblHeader/>
          <w:cantSplit/>
        </w:trPr>
        <w:tc>
          <w:tcPr>
            <w:tcW w:type="dxa" w:w="1728"/>
            <w:vAlign w:val="center"/>
            <w:shd w:fill="24445C"/>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9"/>
              </w:rPr>
              <w:t>Groupe</w:t>
            </w:r>
          </w:p>
        </w:tc>
        <w:tc>
          <w:tcPr>
            <w:tcW w:type="dxa" w:w="3312"/>
            <w:vAlign w:val="center"/>
            <w:shd w:fill="24445C"/>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9"/>
              </w:rPr>
              <w:t>Tables du socle</w:t>
            </w:r>
          </w:p>
        </w:tc>
        <w:tc>
          <w:tcPr>
            <w:tcW w:type="dxa" w:w="4896"/>
            <w:vAlign w:val="center"/>
            <w:shd w:fill="24445C"/>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9"/>
              </w:rPr>
              <w:t>Informations principales</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Référentiel</w:t>
            </w:r>
          </w:p>
        </w:tc>
        <w:tc>
          <w:tcPr>
            <w:tcW w:type="dxa" w:w="33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project, environment, target</w:t>
            </w:r>
          </w:p>
        </w:tc>
        <w:tc>
          <w:tcPr>
            <w:tcW w:type="dxa" w:w="48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Projet, environnement, cible, autorisations et limites.</w:t>
            </w:r>
          </w:p>
        </w:tc>
      </w:tr>
      <w:tr>
        <w:trPr>
          <w:cantSplit/>
        </w:trPr>
        <w:tc>
          <w:tcPr>
            <w:tcW w:type="dxa" w:w="1728"/>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Scénarios</w:t>
            </w:r>
          </w:p>
        </w:tc>
        <w:tc>
          <w:tcPr>
            <w:tcW w:type="dxa" w:w="3312"/>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test_asset</w:t>
            </w:r>
          </w:p>
        </w:tc>
        <w:tc>
          <w:tcPr>
            <w:tcW w:type="dxa" w:w="4896"/>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Type d’outil, version, empreinte et référence du script.</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Exécutions</w:t>
            </w:r>
          </w:p>
        </w:tc>
        <w:tc>
          <w:tcPr>
            <w:tcW w:type="dxa" w:w="33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run, run_param, run_event</w:t>
            </w:r>
          </w:p>
        </w:tc>
        <w:tc>
          <w:tcPr>
            <w:tcW w:type="dxa" w:w="48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États, résultat, validation, paramètres et événements.</w:t>
            </w:r>
          </w:p>
        </w:tc>
      </w:tr>
      <w:tr>
        <w:trPr>
          <w:cantSplit/>
        </w:trPr>
        <w:tc>
          <w:tcPr>
            <w:tcW w:type="dxa" w:w="1728"/>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Fichiers</w:t>
            </w:r>
          </w:p>
        </w:tc>
        <w:tc>
          <w:tcPr>
            <w:tcW w:type="dxa" w:w="3312"/>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artifact</w:t>
            </w:r>
          </w:p>
        </w:tc>
        <w:tc>
          <w:tcPr>
            <w:tcW w:type="dxa" w:w="4896"/>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Type, emplacement, empreinte et rattachement à l’exécution.</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Automatisation</w:t>
            </w:r>
          </w:p>
        </w:tc>
        <w:tc>
          <w:tcPr>
            <w:tcW w:type="dxa" w:w="33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threshold, schedule, webhook_sub</w:t>
            </w:r>
          </w:p>
        </w:tc>
        <w:tc>
          <w:tcPr>
            <w:tcW w:type="dxa" w:w="48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Seuils, calendrier et échanges automatiques.</w:t>
            </w:r>
          </w:p>
        </w:tc>
      </w:tr>
      <w:tr>
        <w:trPr>
          <w:cantSplit/>
        </w:trPr>
        <w:tc>
          <w:tcPr>
            <w:tcW w:type="dxa" w:w="1728"/>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Audit</w:t>
            </w:r>
          </w:p>
        </w:tc>
        <w:tc>
          <w:tcPr>
            <w:tcW w:type="dxa" w:w="3312"/>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audit_log</w:t>
            </w:r>
          </w:p>
        </w:tc>
        <w:tc>
          <w:tcPr>
            <w:tcW w:type="dxa" w:w="4896"/>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Acteur, action, objet et date de l’opération.</w:t>
            </w:r>
          </w:p>
        </w:tc>
      </w:tr>
    </w:tbl>
    <w:p>
      <w:pPr>
        <w:spacing w:after="0"/>
      </w:pPr>
    </w:p>
    <w:p>
      <w:pPr>
        <w:pStyle w:val="Heading2"/>
      </w:pPr>
      <w:r>
        <w:t>Répartition du stockage</w:t>
      </w:r>
    </w:p>
    <w:p>
      <w:r>
        <w:rPr>
          <w:b w:val="0"/>
        </w:rPr>
        <w:t>PostgreSQL conserve les informations structurées, les états et les références. MinIO conserve les scripts, fichiers de résultats JMeter, rapports HTML, captures et journaux. Le coffre de secrets conserve les mots de passe et jetons ; la base stocke seulement des références vers ces secrets.</w:t>
      </w:r>
    </w:p>
    <w:p>
      <w:pPr>
        <w:pStyle w:val="Heading2"/>
      </w:pPr>
      <w:r>
        <w:t>Garanties de cohérence</w:t>
      </w:r>
    </w:p>
    <w:p>
      <w:pPr>
        <w:pStyle w:val="ListBullet"/>
      </w:pPr>
      <w:r>
        <w:t>Une contrainte unique associe le projet à la clé d’idempotence de la demande.</w:t>
      </w:r>
    </w:p>
    <w:p>
      <w:pPr>
        <w:pStyle w:val="ListBullet"/>
      </w:pPr>
      <w:r>
        <w:t>Les événements d’exécution et l’audit sont en écriture seule pour le compte applicatif ; leur conservation et leur purge administrative restent encadrées.</w:t>
      </w:r>
    </w:p>
    <w:p>
      <w:pPr>
        <w:pStyle w:val="ListBullet"/>
      </w:pPr>
      <w:r>
        <w:t>Les dates sont enregistrées en UTC et présentées dans le fuseau approprié dans l’interface.</w:t>
      </w:r>
    </w:p>
    <w:p>
      <w:pPr>
        <w:pStyle w:val="ListBullet"/>
      </w:pPr>
      <w:r>
        <w:t>Les évolutions du schéma sont livrées par migrations Alembic versionnées.</w:t>
      </w:r>
    </w:p>
    <w:p>
      <w:pPr>
        <w:pStyle w:val="Heading2"/>
      </w:pPr>
      <w:r>
        <w:t>Compléments à spécifier avant développement</w:t>
      </w:r>
    </w:p>
    <w:p>
      <w:r>
        <w:rPr>
          <w:b w:val="0"/>
        </w:rPr>
        <w:t>Les douze tables illustrent le socle. Le modèle complet doit aussi préciser les équipes et appartenances aux projets, les agents, les réservations de cibles et les workflows. Nous recommandons de figer, pour chaque campagne, les seuils et versions effectivement utilisés afin de préserver la lecture de l’historique.</w:t>
      </w:r>
    </w:p>
    <w:p>
      <w:r>
        <w:rPr>
          <w:b w:val="0"/>
        </w:rPr>
        <w:t>Les durées de conservation et la taille maximale des fichiers sont à valider. Les données de preuve peuvent contenir des informations applicatives sensibles et doivent être protégées. [S1, chapitre 7 ; S2, étape 1]</w:t>
      </w:r>
    </w:p>
    <w:p>
      <w:r>
        <w:br w:type="page"/>
      </w:r>
    </w:p>
    <w:p>
      <w:pPr>
        <w:pStyle w:val="Heading1"/>
      </w:pPr>
      <w:r>
        <w:t>6 La structure du développement</w:t>
      </w:r>
    </w:p>
    <w:p>
      <w:pPr>
        <w:pStyle w:val="Heading2"/>
      </w:pPr>
      <w:r>
        <w:t>Un dépôt Git commun organisé par responsabilité</w:t>
      </w:r>
    </w:p>
    <w:p>
      <w:r>
        <w:rPr>
          <w:b w:val="0"/>
        </w:rPr>
        <w:t>Le guide propose un monorepo : le code des différents composants est conservé dans un même dépôt Git. Cette organisation facilite l’évolution coordonnée des contrats et des modèles, tout en permettant de construire des images séparées pour l’API, l’orchestrateur et les agents.</w:t>
      </w:r>
    </w:p>
    <w:tbl>
      <w:tblPr>
        <w:tblW w:type="auto" w:w="0"/>
        <w:jc w:val="center"/>
        <w:tblLayout w:type="fixed"/>
        <w:tblLook w:firstColumn="1" w:firstRow="1" w:lastColumn="0" w:lastRow="0" w:noHBand="0" w:noVBand="1" w:val="04A0"/>
      </w:tblPr>
      <w:tblGrid>
        <w:gridCol w:w="3456"/>
        <w:gridCol w:w="6480"/>
      </w:tblGrid>
      <w:tr>
        <w:trPr>
          <w:tblHeader/>
          <w:cantSplit/>
        </w:trPr>
        <w:tc>
          <w:tcPr>
            <w:tcW w:type="dxa" w:w="3456"/>
            <w:vAlign w:val="center"/>
            <w:shd w:fill="24445C"/>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9"/>
              </w:rPr>
              <w:t>Emplacement</w:t>
            </w:r>
          </w:p>
        </w:tc>
        <w:tc>
          <w:tcPr>
            <w:tcW w:type="dxa" w:w="6480"/>
            <w:vAlign w:val="center"/>
            <w:shd w:fill="24445C"/>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9"/>
              </w:rPr>
              <w:t>Contenu attendu</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apps/api</w:t>
            </w:r>
          </w:p>
        </w:tc>
        <w:tc>
          <w:tcPr>
            <w:tcW w:type="dxa" w:w="64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Routes FastAPI, schémas, authentification et services applicatifs.</w:t>
            </w:r>
          </w:p>
        </w:tc>
      </w:tr>
      <w:tr>
        <w:trPr>
          <w:cantSplit/>
        </w:trPr>
        <w:tc>
          <w:tcPr>
            <w:tcW w:type="dxa" w:w="3456"/>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apps/orchestrator</w:t>
            </w:r>
          </w:p>
        </w:tc>
        <w:tc>
          <w:tcPr>
            <w:tcW w:type="dxa" w:w="64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Transitions, attribution, règles, réservations et surveillance.</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apps/agent</w:t>
            </w:r>
          </w:p>
        </w:tc>
        <w:tc>
          <w:tcPr>
            <w:tcW w:type="dxa" w:w="64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Enregistrement, réception des ordres, Docker, journaux et fichiers.</w:t>
            </w:r>
          </w:p>
        </w:tc>
      </w:tr>
      <w:tr>
        <w:trPr>
          <w:cantSplit/>
        </w:trPr>
        <w:tc>
          <w:tcPr>
            <w:tcW w:type="dxa" w:w="3456"/>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apps/web</w:t>
            </w:r>
          </w:p>
        </w:tc>
        <w:tc>
          <w:tcPr>
            <w:tcW w:type="dxa" w:w="64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Interface React, session, pages et client API généré.</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connectors/sdk</w:t>
            </w:r>
          </w:p>
        </w:tc>
        <w:tc>
          <w:tcPr>
            <w:tcW w:type="dxa" w:w="64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Contrat commun et modèles d’entrée et de résultat.</w:t>
            </w:r>
          </w:p>
        </w:tc>
      </w:tr>
      <w:tr>
        <w:trPr>
          <w:cantSplit/>
        </w:trPr>
        <w:tc>
          <w:tcPr>
            <w:tcW w:type="dxa" w:w="3456"/>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connectors/jmeter et selenium</w:t>
            </w:r>
          </w:p>
        </w:tc>
        <w:tc>
          <w:tcPr>
            <w:tcW w:type="dxa" w:w="64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Implémentation des opérations propres à chaque outil.</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libs et migrations</w:t>
            </w:r>
          </w:p>
        </w:tc>
        <w:tc>
          <w:tcPr>
            <w:tcW w:type="dxa" w:w="64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Objets partagés, contrats, modèles et évolution de la base.</w:t>
            </w:r>
          </w:p>
        </w:tc>
      </w:tr>
      <w:tr>
        <w:trPr>
          <w:cantSplit/>
        </w:trPr>
        <w:tc>
          <w:tcPr>
            <w:tcW w:type="dxa" w:w="3456"/>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deploy, tests et docs</w:t>
            </w:r>
          </w:p>
        </w:tc>
        <w:tc>
          <w:tcPr>
            <w:tcW w:type="dxa" w:w="64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Installation, vérifications automatisées et documentation.</w:t>
            </w:r>
          </w:p>
        </w:tc>
      </w:tr>
    </w:tbl>
    <w:p>
      <w:pPr>
        <w:spacing w:after="0"/>
      </w:pPr>
    </w:p>
    <w:p>
      <w:pPr>
        <w:pStyle w:val="Heading2"/>
      </w:pPr>
      <w:r>
        <w:t>Organisation proposée au sein de l’API</w:t>
      </w:r>
    </w:p>
    <w:p>
      <w:r>
        <w:rPr>
          <w:b w:val="0"/>
        </w:rPr>
        <w:t>Nous recommandons des modules par fonctionnalité : projets, environnements, cibles, scripts, exécutions, seuils et audit. Chaque module distingue les routes HTTP, les schémas de validation, le service applicatif et les accès aux données. Cette séparation évite de concentrer droits, requêtes SQL et orchestration dans une même route.</w:t>
      </w:r>
    </w:p>
    <w:p>
      <w:pPr>
        <w:pStyle w:val="Heading2"/>
      </w:pPr>
      <w:r>
        <w:t>Contrats entre les composants</w:t>
      </w:r>
    </w:p>
    <w:p>
      <w:r>
        <w:rPr>
          <w:b w:val="0"/>
        </w:rPr>
        <w:t>L’API publie son contrat OpenAPI et génère le client TypeScript. Le contrat de connecteur comprend cinq opérations : valider la demande, préparer le lancement, lire les résultats, identifier les fichiers et arrêter l’outil. Les messages aux agents doivent identifier sans ambiguïté l’exécution et la version à utiliser.</w:t>
      </w:r>
    </w:p>
    <w:p>
      <w:pPr>
        <w:pStyle w:val="Heading2"/>
      </w:pPr>
      <w:r>
        <w:t>Définition de terminé</w:t>
      </w:r>
    </w:p>
    <w:p>
      <w:r>
        <w:rPr>
          <w:b w:val="0"/>
        </w:rPr>
        <w:t>Une tâche comprend son code, les contrôles adaptés, la revue par un pair, les éventuelles migrations, l’audit nécessaire et la documentation. Le pipeline de développement vérifie le style, les types, les tests et la construction des images. [S2, chapitre A, étape 0 et annexe B]</w:t>
      </w:r>
    </w:p>
    <w:p>
      <w:r>
        <w:br w:type="page"/>
      </w:r>
    </w:p>
    <w:p>
      <w:pPr>
        <w:pStyle w:val="Heading1"/>
      </w:pPr>
      <w:r>
        <w:t>7 La démarche de réalisation du socle</w:t>
      </w:r>
    </w:p>
    <w:p>
      <w:r>
        <w:rPr>
          <w:b w:val="0"/>
        </w:rPr>
        <w:t>Les lots servent au pilotage du projet ; les étapes du guide servent à organiser le développement. Chaque étape doit se terminer par une preuve vérifiable avant la mise en service des fonctions qui en dépendent.</w:t>
      </w:r>
    </w:p>
    <w:p>
      <w:pPr>
        <w:pStyle w:val="Heading2"/>
      </w:pPr>
      <w:r>
        <w:t>Lot 0 Cadrage et qualification du pilote</w:t>
      </w:r>
    </w:p>
    <w:p>
      <w:r>
        <w:rPr>
          <w:b w:val="0"/>
        </w:rPr>
        <w:t>Inventorier les outils, scripts, environnements et contraintes réseau. Choisir une application pilote et confirmer l’authentification, les comptes de test, les cibles autorisées, les volumes et les critères de réussite. Les accès doivent être disponibles avant les essais sur le système client.</w:t>
      </w:r>
    </w:p>
    <w:p>
      <w:r>
        <w:rPr>
          <w:b w:val="0"/>
        </w:rPr>
        <w:t>Livrables : architecture validée, périmètre de première livraison, backlog priorisé, liste des accès et plan de démonstration. L’outil de tests d’API et la place éventuelle de Playwright sont arbitrés à ce stade.</w:t>
      </w:r>
    </w:p>
    <w:tbl>
      <w:tblPr>
        <w:tblW w:type="auto" w:w="0"/>
        <w:jc w:val="center"/>
        <w:tblLayout w:type="fixed"/>
        <w:tblLook w:firstColumn="1" w:firstRow="1" w:lastColumn="0" w:lastRow="0" w:noHBand="0" w:noVBand="1" w:val="04A0"/>
      </w:tblPr>
      <w:tblGrid>
        <w:gridCol w:w="2232"/>
        <w:gridCol w:w="7704"/>
      </w:tblGrid>
      <w:tr>
        <w:trPr>
          <w:tblHeader/>
          <w:cantSplit/>
        </w:trPr>
        <w:tc>
          <w:tcPr>
            <w:tcW w:type="dxa" w:w="2232"/>
            <w:vAlign w:val="center"/>
            <w:shd w:fill="24445C"/>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9"/>
              </w:rPr>
              <w:t>Étape du guide</w:t>
            </w:r>
          </w:p>
        </w:tc>
        <w:tc>
          <w:tcPr>
            <w:tcW w:type="dxa" w:w="7704"/>
            <w:vAlign w:val="center"/>
            <w:shd w:fill="24445C"/>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9"/>
              </w:rPr>
              <w:t>Travaux et preuve de fin</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0 Socle</w:t>
            </w:r>
          </w:p>
        </w:tc>
        <w:tc>
          <w:tcPr>
            <w:tcW w:type="dxa" w:w="77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Créer le dépôt, les services Docker et le pipeline. Un développeur démarre un environnement reproductible avec une cible factice.</w:t>
            </w:r>
          </w:p>
        </w:tc>
      </w:tr>
      <w:tr>
        <w:trPr>
          <w:cantSplit/>
        </w:trPr>
        <w:tc>
          <w:tcPr>
            <w:tcW w:type="dxa" w:w="2232"/>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1 Données</w:t>
            </w:r>
          </w:p>
        </w:tc>
        <w:tc>
          <w:tcPr>
            <w:tcW w:type="dxa" w:w="7704"/>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Créer les modèles, migrations, contraintes et données de démonstration. Les migrations sont vérifiées sur une base de test.</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2 API et droits</w:t>
            </w:r>
          </w:p>
        </w:tc>
        <w:tc>
          <w:tcPr>
            <w:tcW w:type="dxa" w:w="77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Exposer les fonctions et les contrôles par projet. Les essais prouvent qu’un profil ne peut pas contourner ses permissions.</w:t>
            </w:r>
          </w:p>
        </w:tc>
      </w:tr>
      <w:tr>
        <w:trPr>
          <w:cantSplit/>
        </w:trPr>
        <w:tc>
          <w:tcPr>
            <w:tcW w:type="dxa" w:w="2232"/>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3 Orchestrateur</w:t>
            </w:r>
          </w:p>
        </w:tc>
        <w:tc>
          <w:tcPr>
            <w:tcW w:type="dxa" w:w="7704"/>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Gérer les états, quotas, réservations, délais et arrêt d’urgence. Les essais concurrents ne créent pas de double exécution.</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4 Agents et contrat</w:t>
            </w:r>
          </w:p>
        </w:tc>
        <w:tc>
          <w:tcPr>
            <w:tcW w:type="dxa" w:w="77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Exécuter un connecteur simple dans un conteneur. Un fichier produit remonte et une demande d’arrêt est exécutée.</w:t>
            </w:r>
          </w:p>
        </w:tc>
      </w:tr>
    </w:tbl>
    <w:p>
      <w:pPr>
        <w:spacing w:after="0"/>
      </w:pPr>
    </w:p>
    <w:p>
      <w:pPr>
        <w:pStyle w:val="Heading2"/>
      </w:pPr>
      <w:r>
        <w:t>Premier jalon technique recommandé</w:t>
      </w:r>
    </w:p>
    <w:p>
      <w:r>
        <w:rPr>
          <w:b w:val="0"/>
        </w:rPr>
        <w:t>Une demande créée par l’API est exécutée par un agent avec un connecteur de démonstration, puis son état et son fichier sont consultables. Ce jalon valide toute la chaîne sans cumuler immédiatement les difficultés de JMeter ou des navigateurs.</w:t>
      </w:r>
    </w:p>
    <w:p>
      <w:pPr>
        <w:pStyle w:val="Heading2"/>
      </w:pPr>
      <w:r>
        <w:t>Travail pouvant avancer en parallèle</w:t>
      </w:r>
    </w:p>
    <w:p>
      <w:r>
        <w:rPr>
          <w:b w:val="0"/>
        </w:rPr>
        <w:t>Une fois les contrats convenus, les maquettes web et l’environnement peuvent avancer avec les données et l’API. Le guide prévoit une revue renforcée de l’orchestrateur et du contrat des connecteurs par l’architecte. [S1, chapitre 14 ; S2, étapes 0 à 4 et annexe B]</w:t>
      </w:r>
    </w:p>
    <w:p>
      <w:r>
        <w:br w:type="page"/>
      </w:r>
    </w:p>
    <w:p>
      <w:pPr>
        <w:pStyle w:val="Heading1"/>
      </w:pPr>
      <w:r>
        <w:t>8 La réalisation des fonctions de test</w:t>
      </w:r>
    </w:p>
    <w:tbl>
      <w:tblPr>
        <w:tblW w:type="auto" w:w="0"/>
        <w:jc w:val="center"/>
        <w:tblLayout w:type="fixed"/>
        <w:tblLook w:firstColumn="1" w:firstRow="1" w:lastColumn="0" w:lastRow="0" w:noHBand="0" w:noVBand="1" w:val="04A0"/>
      </w:tblPr>
      <w:tblGrid>
        <w:gridCol w:w="1584"/>
        <w:gridCol w:w="4392"/>
        <w:gridCol w:w="3960"/>
      </w:tblGrid>
      <w:tr>
        <w:trPr>
          <w:tblHeader/>
          <w:cantSplit/>
        </w:trPr>
        <w:tc>
          <w:tcPr>
            <w:tcW w:type="dxa" w:w="1584"/>
            <w:vAlign w:val="center"/>
            <w:shd w:fill="24445C"/>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9"/>
              </w:rPr>
              <w:t>Étape du guide</w:t>
            </w:r>
          </w:p>
        </w:tc>
        <w:tc>
          <w:tcPr>
            <w:tcW w:type="dxa" w:w="4392"/>
            <w:vAlign w:val="center"/>
            <w:shd w:fill="24445C"/>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9"/>
              </w:rPr>
              <w:t>Contenu</w:t>
            </w:r>
          </w:p>
        </w:tc>
        <w:tc>
          <w:tcPr>
            <w:tcW w:type="dxa" w:w="3960"/>
            <w:vAlign w:val="center"/>
            <w:shd w:fill="24445C"/>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9"/>
              </w:rPr>
              <w:t>Preuve de fin</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5 JMeter</w:t>
            </w:r>
          </w:p>
        </w:tc>
        <w:tc>
          <w:tcPr>
            <w:tcW w:type="dxa" w:w="43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Valider les plans, exécuter sans interface graphique, lire les JTL et surveiller le générateur.</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Des plans de référence produisent des mesures cohérentes ; un générateur saturé est signalé.</w:t>
            </w:r>
          </w:p>
        </w:tc>
      </w:tr>
      <w:tr>
        <w:trPr>
          <w:cantSplit/>
        </w:trPr>
        <w:tc>
          <w:tcPr>
            <w:tcW w:type="dxa" w:w="1584"/>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6 Selenium</w:t>
            </w:r>
          </w:p>
        </w:tc>
        <w:tc>
          <w:tcPr>
            <w:tcW w:type="dxa" w:w="4392"/>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Qualifier les suites, navigateurs et pilotes ; recueillir les rapports JUnit et captures.</w:t>
            </w:r>
          </w:p>
        </w:tc>
        <w:tc>
          <w:tcPr>
            <w:tcW w:type="dxa" w:w="396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Les comptes de réussite et d’échec correspondent au rapport source ; un test instable est visible.</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7 Automatisation</w:t>
            </w:r>
          </w:p>
        </w:tc>
        <w:tc>
          <w:tcPr>
            <w:tcW w:type="dxa" w:w="43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Développer workflows, calendriers, webhooks signés et règles de qualité.</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Un appel valide déclenche une campagne ; un appel falsifié est refusé ; le verdict est récupérable.</w:t>
            </w:r>
          </w:p>
        </w:tc>
      </w:tr>
      <w:tr>
        <w:trPr>
          <w:cantSplit/>
        </w:trPr>
        <w:tc>
          <w:tcPr>
            <w:tcW w:type="dxa" w:w="1584"/>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8 Interface</w:t>
            </w:r>
          </w:p>
        </w:tc>
        <w:tc>
          <w:tcPr>
            <w:tcW w:type="dxa" w:w="4392"/>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Développer projets, scripts, lancement, suivi, résultats, validation et administration.</w:t>
            </w:r>
          </w:p>
        </w:tc>
        <w:tc>
          <w:tcPr>
            <w:tcW w:type="dxa" w:w="396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Un testeur lance et comprend le verdict sans aide, selon le scénario de recette.</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9 Exploitation</w:t>
            </w:r>
          </w:p>
        </w:tc>
        <w:tc>
          <w:tcPr>
            <w:tcW w:type="dxa" w:w="43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Intégrer les secrets, protections réseau, métriques, alertes et sauvegardes.</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Les essais ne retrouvent pas les secrets et une restauration complète réussit.</w:t>
            </w:r>
          </w:p>
        </w:tc>
      </w:tr>
      <w:tr>
        <w:trPr>
          <w:cantSplit/>
        </w:trPr>
        <w:tc>
          <w:tcPr>
            <w:tcW w:type="dxa" w:w="1584"/>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10 Recette</w:t>
            </w:r>
          </w:p>
        </w:tc>
        <w:tc>
          <w:tcPr>
            <w:tcW w:type="dxa" w:w="4392"/>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Exécuter les essais fonctionnels, de panne, de sécurité et de bout en bout.</w:t>
            </w:r>
          </w:p>
        </w:tc>
        <w:tc>
          <w:tcPr>
            <w:tcW w:type="dxa" w:w="396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Les critères convenus sont démontrés et leurs preuves sont archivées.</w:t>
            </w:r>
          </w:p>
        </w:tc>
      </w:tr>
    </w:tbl>
    <w:p>
      <w:pPr>
        <w:spacing w:after="0"/>
      </w:pPr>
    </w:p>
    <w:p>
      <w:pPr>
        <w:pStyle w:val="Heading2"/>
      </w:pPr>
      <w:r>
        <w:t>Évaluer les résultats de façon cohérente</w:t>
      </w:r>
    </w:p>
    <w:p>
      <w:r>
        <w:rPr>
          <w:b w:val="0"/>
        </w:rPr>
        <w:t>Les seuils bloquants produisent une non-conformité lorsqu’ils sont dépassés. Les seuils informatifs produisent un avertissement selon la convention à finaliser. Le système doit traiter explicitement les résultats non fiables, incomplets et indéterminés avant de décider de poursuivre un workflow.</w:t>
      </w:r>
    </w:p>
    <w:p>
      <w:pPr>
        <w:pStyle w:val="Heading2"/>
      </w:pPr>
      <w:r>
        <w:t>Lot CI CD optionnel</w:t>
      </w:r>
    </w:p>
    <w:p>
      <w:r>
        <w:rPr>
          <w:b w:val="0"/>
        </w:rPr>
        <w:t>Le module de livraison ajoute les releases, promotions entre environnements, approbations, ordres de déploiement et retours arrière. Il utilise une machine à états distincte. Le pipeline existant reste le point d’appui ; chaque adaptateur est qualifié sur l’outil réellement utilisé.</w:t>
      </w:r>
    </w:p>
    <w:p>
      <w:r>
        <w:rPr>
          <w:b w:val="0"/>
        </w:rPr>
        <w:t>Ce lot nécessite une décision de périmètre. Le retour à une image applicative précédente doit être séparé du traitement des migrations de données, dont certaines sont irréversibles. [S1, chapitres 5 et 14 ; S2, étapes 5 à 10 et annexe B]</w:t>
      </w:r>
    </w:p>
    <w:p>
      <w:r>
        <w:br w:type="page"/>
      </w:r>
    </w:p>
    <w:p>
      <w:pPr>
        <w:pStyle w:val="Heading1"/>
      </w:pPr>
      <w:r>
        <w:t>9 Les vérifications et la recette</w:t>
      </w:r>
    </w:p>
    <w:p>
      <w:r>
        <w:rPr>
          <w:b w:val="0"/>
        </w:rPr>
        <w:t>La plateforme doit être testée avec la même rigueur que les applications qu’elle pilote. Nous devons vérifier le parcours normal et les situations où une panne pourrait produire une mauvaise décision, une perte de preuve ou une double charge.</w:t>
      </w:r>
    </w:p>
    <w:tbl>
      <w:tblPr>
        <w:tblW w:type="auto" w:w="0"/>
        <w:jc w:val="center"/>
        <w:tblLayout w:type="fixed"/>
        <w:tblLook w:firstColumn="1" w:firstRow="1" w:lastColumn="0" w:lastRow="0" w:noHBand="0" w:noVBand="1" w:val="04A0"/>
      </w:tblPr>
      <w:tblGrid>
        <w:gridCol w:w="2160"/>
        <w:gridCol w:w="7776"/>
      </w:tblGrid>
      <w:tr>
        <w:trPr>
          <w:tblHeader/>
          <w:cantSplit/>
        </w:trPr>
        <w:tc>
          <w:tcPr>
            <w:tcW w:type="dxa" w:w="2160"/>
            <w:vAlign w:val="center"/>
            <w:shd w:fill="24445C"/>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9"/>
              </w:rPr>
              <w:t>Famille de vérification</w:t>
            </w:r>
          </w:p>
        </w:tc>
        <w:tc>
          <w:tcPr>
            <w:tcW w:type="dxa" w:w="7776"/>
            <w:vAlign w:val="center"/>
            <w:shd w:fill="24445C"/>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9"/>
              </w:rPr>
              <w:t>Ce que nous devons prouver</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Règles unitaires</w:t>
            </w:r>
          </w:p>
        </w:tc>
        <w:tc>
          <w:tcPr>
            <w:tcW w:type="dxa" w:w="77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Transitions autorisées, quotas, calcul des verdicts et détection de saturation.</w:t>
            </w:r>
          </w:p>
        </w:tc>
      </w:tr>
      <w:tr>
        <w:trPr>
          <w:cantSplit/>
        </w:trPr>
        <w:tc>
          <w:tcPr>
            <w:tcW w:type="dxa" w:w="216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Intégration</w:t>
            </w:r>
          </w:p>
        </w:tc>
        <w:tc>
          <w:tcPr>
            <w:tcW w:type="dxa" w:w="7776"/>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Fonctionnement avec PostgreSQL, Redis et MinIO réels ; cohérence des écritures et des réservations.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Pannes</w:t>
            </w:r>
          </w:p>
        </w:tc>
        <w:tc>
          <w:tcPr>
            <w:tcW w:type="dxa" w:w="77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Agent interrompu, orchestrateur redémarré et services indisponibles sans double lancement ni relance automatique de charge.</w:t>
            </w:r>
          </w:p>
        </w:tc>
      </w:tr>
      <w:tr>
        <w:trPr>
          <w:cantSplit/>
        </w:trPr>
        <w:tc>
          <w:tcPr>
            <w:tcW w:type="dxa" w:w="216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Sécurité</w:t>
            </w:r>
          </w:p>
        </w:tc>
        <w:tc>
          <w:tcPr>
            <w:tcW w:type="dxa" w:w="7776"/>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Droits par rôle et projet, cible autorisée, signature des webhooks et absence de secrets dans les sorties.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Parcours complet</w:t>
            </w:r>
          </w:p>
        </w:tc>
        <w:tc>
          <w:tcPr>
            <w:tcW w:type="dxa" w:w="77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Sélection, lancement, suivi, consultation des preuves et validation humaine.</w:t>
            </w:r>
          </w:p>
        </w:tc>
      </w:tr>
      <w:tr>
        <w:trPr>
          <w:cantSplit/>
        </w:trPr>
        <w:tc>
          <w:tcPr>
            <w:tcW w:type="dxa" w:w="216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Restauration</w:t>
            </w:r>
          </w:p>
        </w:tc>
        <w:tc>
          <w:tcPr>
            <w:tcW w:type="dxa" w:w="7776"/>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Remise en service à partir des sauvegardes sur un environnement vierge.</w:t>
            </w:r>
          </w:p>
        </w:tc>
      </w:tr>
    </w:tbl>
    <w:p>
      <w:pPr>
        <w:spacing w:after="0"/>
      </w:pPr>
    </w:p>
    <w:p>
      <w:pPr>
        <w:pStyle w:val="Heading2"/>
      </w:pPr>
      <w:r>
        <w:t>Scénarios essentiels de démonstration</w:t>
      </w:r>
    </w:p>
    <w:p>
      <w:pPr>
        <w:pStyle w:val="ListBullet"/>
      </w:pPr>
      <w:r>
        <w:t>Un utilisateur autorisé lance un test et retrouve la version exacte du script, ses paramètres non secrets et les fichiers produits.</w:t>
      </w:r>
    </w:p>
    <w:p>
      <w:pPr>
        <w:pStyle w:val="ListBullet"/>
      </w:pPr>
      <w:r>
        <w:t>Deux demandes répétées avec une même clé ne créent qu’une exécution ; deux charges sur une même cible ne se chevauchent pas.</w:t>
      </w:r>
    </w:p>
    <w:p>
      <w:pPr>
        <w:pStyle w:val="ListBullet"/>
      </w:pPr>
      <w:r>
        <w:t>Un seuil bloquant dépassé donne un résultat non conforme ; une saturation du générateur donne un résultat non fiable.</w:t>
      </w:r>
    </w:p>
    <w:p>
      <w:pPr>
        <w:pStyle w:val="ListBullet"/>
      </w:pPr>
      <w:r>
        <w:t>Une perte de contact avec l’agent déclenche une alerte et une gestion explicite de l’incertitude.</w:t>
      </w:r>
    </w:p>
    <w:p>
      <w:pPr>
        <w:pStyle w:val="ListBullet"/>
      </w:pPr>
      <w:r>
        <w:t>Un responsable valide le résultat sans effacer le verdict calculé ni les événements précédents.</w:t>
      </w:r>
    </w:p>
    <w:p>
      <w:pPr>
        <w:pStyle w:val="Heading2"/>
      </w:pPr>
      <w:r>
        <w:t>Constitution du dossier de preuve</w:t>
      </w:r>
    </w:p>
    <w:p>
      <w:r>
        <w:rPr>
          <w:b w:val="0"/>
        </w:rPr>
        <w:t>Chaque critère accepté doit être associé à un scénario, un résultat attendu, une observation, une date et un fichier ou journal de preuve. Les anomalies sont corrigées ou font l’objet d’une décision documentée avant acceptation.</w:t>
      </w:r>
    </w:p>
    <w:p>
      <w:r>
        <w:rPr>
          <w:b w:val="0"/>
        </w:rPr>
        <w:t>Le guide renvoie aux critères R1 à R21 d’une offre technique séparée. Cette offre n’est pas incluse dans les deux sources de la présente note : les libellés et la correspondance doivent donc être obtenus et confirmés avant la recette. [S1, chapitres 3 et 14 ; S2, étape 10]</w:t>
      </w:r>
    </w:p>
    <w:p>
      <w:r>
        <w:br w:type="page"/>
      </w:r>
    </w:p>
    <w:p>
      <w:pPr>
        <w:pStyle w:val="Heading1"/>
      </w:pPr>
      <w:r>
        <w:t>10 Les conditions de déploiement et d’exploitation</w:t>
      </w:r>
    </w:p>
    <w:p>
      <w:pPr>
        <w:pStyle w:val="Heading2"/>
      </w:pPr>
      <w:r>
        <w:t>Environnements et réseau</w:t>
      </w:r>
    </w:p>
    <w:p>
      <w:r>
        <w:rPr>
          <w:b w:val="0"/>
        </w:rPr>
        <w:t>Le guide prévoit un environnement de développement par développeur et une cible factice pour les premiers essais. La recette doit être proche des conditions d’exploitation et distincte des postes de développement. L’usage réel nécessite une supervision et des sauvegardes actives.</w:t>
      </w:r>
    </w:p>
    <w:p>
      <w:r>
        <w:rPr>
          <w:b w:val="0"/>
        </w:rPr>
        <w:t>Les utilisateurs et pipelines accèdent à l’interface et à l’API par HTTPS. Les agents interrogent l’orchestrateur par des flux sortants et joignent uniquement les cibles autorisées. Les bases, la file et le stockage ne doivent être accessibles qu’aux composants qui en ont besoin.</w:t>
      </w:r>
    </w:p>
    <w:p>
      <w:pPr>
        <w:pStyle w:val="Heading2"/>
      </w:pPr>
      <w:r>
        <w:t>Isolation des exécutions</w:t>
      </w:r>
    </w:p>
    <w:p>
      <w:r>
        <w:rPr>
          <w:b w:val="0"/>
        </w:rPr>
        <w:t>Les tests tournent dans des conteneurs éphémères avec des limites CPU et mémoire, un utilisateur non privilégié et des accès réseau restreints. Le socket Docker de l’hôte n’est pas exposé au conteneur de test. Les versions des images et outils sont figées et vérifiées.</w:t>
      </w:r>
    </w:p>
    <w:p>
      <w:pPr>
        <w:pStyle w:val="Heading2"/>
      </w:pPr>
      <w:r>
        <w:t>Dimensionnement à confirmer par essai</w:t>
      </w:r>
    </w:p>
    <w:tbl>
      <w:tblPr>
        <w:tblW w:type="auto" w:w="0"/>
        <w:jc w:val="center"/>
        <w:tblLayout w:type="fixed"/>
        <w:tblLook w:firstColumn="1" w:firstRow="1" w:lastColumn="0" w:lastRow="0" w:noHBand="0" w:noVBand="1" w:val="04A0"/>
      </w:tblPr>
      <w:tblGrid>
        <w:gridCol w:w="2880"/>
        <w:gridCol w:w="7056"/>
      </w:tblGrid>
      <w:tr>
        <w:trPr>
          <w:tblHeader/>
          <w:cantSplit/>
        </w:trPr>
        <w:tc>
          <w:tcPr>
            <w:tcW w:type="dxa" w:w="2880"/>
            <w:vAlign w:val="center"/>
            <w:shd w:fill="24445C"/>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9"/>
              </w:rPr>
              <w:t>Composant</w:t>
            </w:r>
          </w:p>
        </w:tc>
        <w:tc>
          <w:tcPr>
            <w:tcW w:type="dxa" w:w="7056"/>
            <w:vAlign w:val="center"/>
            <w:shd w:fill="24445C"/>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9"/>
              </w:rPr>
              <w:t>Point de départ indiqué dans le dossier</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Serveur plateforme</w:t>
            </w:r>
          </w:p>
        </w:tc>
        <w:tc>
          <w:tcPr>
            <w:tcW w:type="dxa" w:w="70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4 vCPU, 16 Go de RAM et 100 Go de disque.</w:t>
            </w:r>
          </w:p>
        </w:tc>
      </w:tr>
      <w:tr>
        <w:trPr>
          <w:cantSplit/>
        </w:trPr>
        <w:tc>
          <w:tcPr>
            <w:tcW w:type="dxa" w:w="28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PostgreSQL</w:t>
            </w:r>
          </w:p>
        </w:tc>
        <w:tc>
          <w:tcPr>
            <w:tcW w:type="dxa" w:w="7056"/>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2 vCPU, 8 Go de RAM et 200 Go de disque.</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Agent de charge</w:t>
            </w:r>
          </w:p>
        </w:tc>
        <w:tc>
          <w:tcPr>
            <w:tcW w:type="dxa" w:w="70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8 vCPU et 16 Go de RAM par hôte d’agent.</w:t>
            </w:r>
          </w:p>
        </w:tc>
      </w:tr>
      <w:tr>
        <w:trPr>
          <w:cantSplit/>
        </w:trPr>
        <w:tc>
          <w:tcPr>
            <w:tcW w:type="dxa" w:w="28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Hôte de navigateurs</w:t>
            </w:r>
          </w:p>
        </w:tc>
        <w:tc>
          <w:tcPr>
            <w:tcW w:type="dxa" w:w="7056"/>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4 vCPU et 16 Go de RAM pour quelques navigateurs.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Stockage des fichiers</w:t>
            </w:r>
          </w:p>
        </w:tc>
        <w:tc>
          <w:tcPr>
            <w:tcW w:type="dxa" w:w="70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Capacité définie selon le volume produit et la conservation.</w:t>
            </w:r>
          </w:p>
        </w:tc>
      </w:tr>
    </w:tbl>
    <w:p>
      <w:pPr>
        <w:spacing w:after="0"/>
      </w:pPr>
    </w:p>
    <w:p>
      <w:r>
        <w:rPr>
          <w:b w:val="0"/>
        </w:rPr>
        <w:t>Ces valeurs sont des hypothèses d’architecture, pas un dimensionnement garanti ni une prescription d’achat. Elles doivent être ajustées sur le pilote, notamment selon la consommation des générateurs, le réseau et le nombre d’exécutions simultanées.</w:t>
      </w:r>
    </w:p>
    <w:p>
      <w:pPr>
        <w:pStyle w:val="Heading2"/>
      </w:pPr>
      <w:r>
        <w:t>Continuité et responsabilités</w:t>
      </w:r>
    </w:p>
    <w:p>
      <w:r>
        <w:rPr>
          <w:b w:val="0"/>
        </w:rPr>
        <w:t>Les objectifs de reprise de 8 heures et de perte maximale de 24 heures sont eux aussi des hypothèses à valider. La sauvegarde doit couvrir les données et fichiers ; la restauration doit prendre en compte les configurations et les dépendances nécessaires à la reprise. Une procédure décrit les incidents, les alertes et les personnes habilitées à intervenir. [S1, chapitres 9 à 13 ; S2, étape 9]</w:t>
      </w:r>
    </w:p>
    <w:p>
      <w:r>
        <w:br w:type="page"/>
      </w:r>
    </w:p>
    <w:p>
      <w:pPr>
        <w:pStyle w:val="Heading1"/>
      </w:pPr>
      <w:r>
        <w:t>11 Les risques et les décisions techniques</w:t>
      </w:r>
    </w:p>
    <w:p>
      <w:r>
        <w:rPr>
          <w:b w:val="0"/>
        </w:rPr>
        <w:t>Les dossiers apportent une base de conception. Les points suivants doivent être résolus pendant le cadrage ou la conception détaillée. Les mesures proposées ci-dessous sont des recommandations de mise en œuvre ; elles ne constituent pas des fonctions déjà livrées.</w:t>
      </w:r>
    </w:p>
    <w:tbl>
      <w:tblPr>
        <w:tblW w:type="auto" w:w="0"/>
        <w:jc w:val="center"/>
        <w:tblLayout w:type="fixed"/>
        <w:tblLook w:firstColumn="1" w:firstRow="1" w:lastColumn="0" w:lastRow="0" w:noHBand="0" w:noVBand="1" w:val="04A0"/>
      </w:tblPr>
      <w:tblGrid>
        <w:gridCol w:w="2232"/>
        <w:gridCol w:w="7704"/>
      </w:tblGrid>
      <w:tr>
        <w:trPr>
          <w:tblHeader/>
          <w:cantSplit/>
        </w:trPr>
        <w:tc>
          <w:tcPr>
            <w:tcW w:type="dxa" w:w="2232"/>
            <w:vAlign w:val="center"/>
            <w:shd w:fill="24445C"/>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9"/>
              </w:rPr>
              <w:t>Point à traiter</w:t>
            </w:r>
          </w:p>
        </w:tc>
        <w:tc>
          <w:tcPr>
            <w:tcW w:type="dxa" w:w="7704"/>
            <w:vAlign w:val="center"/>
            <w:shd w:fill="24445C"/>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9"/>
              </w:rPr>
              <w:t>Conséquence et action recommandée</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Réservation des cibles</w:t>
            </w:r>
          </w:p>
        </w:tc>
        <w:tc>
          <w:tcPr>
            <w:tcW w:type="dxa" w:w="77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Le verrou de transaction illustré dans le guide ne décrit pas, à lui seul, une réservation couvrant tout le test. Concevoir une réservation persistante et vérifier les courses concurrentes.</w:t>
            </w:r>
          </w:p>
        </w:tc>
      </w:tr>
      <w:tr>
        <w:trPr>
          <w:cantSplit/>
        </w:trPr>
        <w:tc>
          <w:tcPr>
            <w:tcW w:type="dxa" w:w="2232"/>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Agent injoignable</w:t>
            </w:r>
          </w:p>
        </w:tc>
        <w:tc>
          <w:tcPr>
            <w:tcW w:type="dxa" w:w="7704"/>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Le silence ne prouve pas l’arrêt du conteneur. Éviter une nouvelle charge sur la cible avant confirmation d’arrêt ou décision contrôlée ; prévoir une réconciliation.</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Base et file de tâches</w:t>
            </w:r>
          </w:p>
        </w:tc>
        <w:tc>
          <w:tcPr>
            <w:tcW w:type="dxa" w:w="77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Une écriture en base et un envoi en file peuvent échouer séparément. Prévoir un mécanisme fiable de publication et de reprise, par exemple un journal transactionnel des messages à émettre.</w:t>
            </w:r>
          </w:p>
        </w:tc>
      </w:tr>
      <w:tr>
        <w:trPr>
          <w:cantSplit/>
        </w:trPr>
        <w:tc>
          <w:tcPr>
            <w:tcW w:type="dxa" w:w="2232"/>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Règles de poursuite</w:t>
            </w:r>
          </w:p>
        </w:tc>
        <w:tc>
          <w:tcPr>
            <w:tcW w:type="dxa" w:w="7704"/>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La condition illustrative « différent de non conforme » ne traite pas explicitement tous les résultats. Définir les états qui autorisent réellement une étape critique.</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Sens du verdict</w:t>
            </w:r>
          </w:p>
        </w:tc>
        <w:tc>
          <w:tcPr>
            <w:tcW w:type="dxa" w:w="77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Harmoniser le résultat informatif, les avertissements et le comportement attendu du pipeline. Aucun blocage ou passage ne doit dépendre d’un libellé ambigu.</w:t>
            </w:r>
          </w:p>
        </w:tc>
      </w:tr>
      <w:tr>
        <w:trPr>
          <w:cantSplit/>
        </w:trPr>
        <w:tc>
          <w:tcPr>
            <w:tcW w:type="dxa" w:w="2232"/>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Périmètre des connecteurs</w:t>
            </w:r>
          </w:p>
        </w:tc>
        <w:tc>
          <w:tcPr>
            <w:tcW w:type="dxa" w:w="7704"/>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Fixer l’outil API, les formats Selenium et les versions. Ne promettre une intégration qu’après essai sur les outils réels.</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Modèle de données</w:t>
            </w:r>
          </w:p>
        </w:tc>
        <w:tc>
          <w:tcPr>
            <w:tcW w:type="dxa" w:w="77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Compléter le socle pour les appartenances, agents, workflows et réservations ; préciser l’isolation par projet.</w:t>
            </w:r>
          </w:p>
        </w:tc>
      </w:tr>
      <w:tr>
        <w:trPr>
          <w:cantSplit/>
        </w:trPr>
        <w:tc>
          <w:tcPr>
            <w:tcW w:type="dxa" w:w="2232"/>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Secrets et preuves</w:t>
            </w:r>
          </w:p>
        </w:tc>
        <w:tc>
          <w:tcPr>
            <w:tcW w:type="dxa" w:w="7704"/>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Les captures, journaux et traces peuvent contenir des données sensibles. Tester le masquage et définir droits, rétention et suppression.</w:t>
            </w:r>
          </w:p>
        </w:tc>
      </w:tr>
    </w:tbl>
    <w:p>
      <w:pPr>
        <w:spacing w:after="0"/>
      </w:pPr>
    </w:p>
    <w:p>
      <w:pPr>
        <w:pStyle w:val="Heading2"/>
      </w:pPr>
      <w:r>
        <w:t>Risques de pilotage</w:t>
      </w:r>
    </w:p>
    <w:p>
      <w:r>
        <w:rPr>
          <w:b w:val="0"/>
        </w:rPr>
        <w:t>Le périmètre du pilote, la qualité des scripts existants et les accès techniques influencent directement l’effort. La création ou la réécriture des scénarios doit être attribuée et estimée séparément si nécessaire. Toute nouvelle intégration est évaluée avant son entrée dans la livraison.</w:t>
      </w:r>
    </w:p>
    <w:p>
      <w:r>
        <w:rPr>
          <w:b w:val="0"/>
        </w:rPr>
        <w:t>La sécurité minimale, la supervision utile et la restauration doivent être disponibles avant le premier usage réel. Leur durcissement peut se poursuivre ensuite. Aucun délai ou budget ferme n’est établi par les deux documents. [S1, chapitres 14 à 17 ; S2, étapes 3, 7 et 10]</w:t>
      </w:r>
    </w:p>
    <w:p>
      <w:r>
        <w:br w:type="page"/>
      </w:r>
    </w:p>
    <w:p>
      <w:pPr>
        <w:pStyle w:val="Heading1"/>
      </w:pPr>
      <w:r>
        <w:t>12 Les validations attendues et les références</w:t>
      </w:r>
    </w:p>
    <w:p>
      <w:pPr>
        <w:pStyle w:val="Heading2"/>
      </w:pPr>
      <w:r>
        <w:t>Décisions à soumettre au supérieur</w:t>
      </w:r>
    </w:p>
    <w:tbl>
      <w:tblPr>
        <w:tblW w:type="auto" w:w="0"/>
        <w:jc w:val="center"/>
        <w:tblLayout w:type="fixed"/>
        <w:tblLook w:firstColumn="1" w:firstRow="1" w:lastColumn="0" w:lastRow="0" w:noHBand="0" w:noVBand="1" w:val="04A0"/>
      </w:tblPr>
      <w:tblGrid>
        <w:gridCol w:w="2232"/>
        <w:gridCol w:w="7704"/>
      </w:tblGrid>
      <w:tr>
        <w:trPr>
          <w:tblHeader/>
          <w:cantSplit/>
        </w:trPr>
        <w:tc>
          <w:tcPr>
            <w:tcW w:type="dxa" w:w="2232"/>
            <w:vAlign w:val="center"/>
            <w:shd w:fill="24445C"/>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9"/>
              </w:rPr>
              <w:t>Décision</w:t>
            </w:r>
          </w:p>
        </w:tc>
        <w:tc>
          <w:tcPr>
            <w:tcW w:type="dxa" w:w="7704"/>
            <w:vAlign w:val="center"/>
            <w:shd w:fill="24445C"/>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9"/>
              </w:rPr>
              <w:t>Résultat attendu</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Base de réalisation</w:t>
            </w:r>
          </w:p>
        </w:tc>
        <w:tc>
          <w:tcPr>
            <w:tcW w:type="dxa" w:w="77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Confirmer le guide développeurs comme référence de mise en œuvre, avec le dossier d’architecture comme vue d’ensemble.</w:t>
            </w:r>
          </w:p>
        </w:tc>
      </w:tr>
      <w:tr>
        <w:trPr>
          <w:cantSplit/>
        </w:trPr>
        <w:tc>
          <w:tcPr>
            <w:tcW w:type="dxa" w:w="2232"/>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Première livraison</w:t>
            </w:r>
          </w:p>
        </w:tc>
        <w:tc>
          <w:tcPr>
            <w:tcW w:type="dxa" w:w="7704"/>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Valider le périmètre JMeter et Selenium, la place des tests d’API et les fonctions reportées.</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Pilote et moyens</w:t>
            </w:r>
          </w:p>
        </w:tc>
        <w:tc>
          <w:tcPr>
            <w:tcW w:type="dxa" w:w="77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Désigner l’application, les référents, les accès, les scripts et l’environnement d’essai.</w:t>
            </w:r>
          </w:p>
        </w:tc>
      </w:tr>
      <w:tr>
        <w:trPr>
          <w:cantSplit/>
        </w:trPr>
        <w:tc>
          <w:tcPr>
            <w:tcW w:type="dxa" w:w="2232"/>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Organisation</w:t>
            </w:r>
          </w:p>
        </w:tc>
        <w:tc>
          <w:tcPr>
            <w:tcW w:type="dxa" w:w="7704"/>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Attribuer architecture, backend, interface, tests de performance et exploitation ; un cumul de rôles reste possible.</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Recette</w:t>
            </w:r>
          </w:p>
        </w:tc>
        <w:tc>
          <w:tcPr>
            <w:tcW w:type="dxa" w:w="77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Obtenir les critères de l’offre technique et convenir des preuves, seuils et signataires.</w:t>
            </w:r>
          </w:p>
        </w:tc>
      </w:tr>
      <w:tr>
        <w:trPr>
          <w:cantSplit/>
        </w:trPr>
        <w:tc>
          <w:tcPr>
            <w:tcW w:type="dxa" w:w="2232"/>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Suite du projet</w:t>
            </w:r>
          </w:p>
        </w:tc>
        <w:tc>
          <w:tcPr>
            <w:tcW w:type="dxa" w:w="7704"/>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sz w:val="19"/>
              </w:rPr>
              <w:t>Décider séparément du lot CI/CD et établir le planning et l’estimation après cadrage.</w:t>
            </w:r>
          </w:p>
        </w:tc>
      </w:tr>
    </w:tbl>
    <w:p>
      <w:pPr>
        <w:spacing w:after="0"/>
      </w:pPr>
    </w:p>
    <w:p>
      <w:pPr>
        <w:pStyle w:val="Heading2"/>
      </w:pPr>
      <w:r>
        <w:t>Livrables à prévoir</w:t>
      </w:r>
    </w:p>
    <w:p>
      <w:r>
        <w:rPr>
          <w:b w:val="0"/>
        </w:rPr>
        <w:t>Code source et historique Git ; backlog et décisions d’architecture ; images et scripts d’installation ; contrat API et documentation des connecteurs ; tests automatisés et preuves de recette ; guides d’utilisation, d’administration, de sauvegarde et de restauration ; transfert de compétences. Leur contenu précis est confirmé au cadrage.</w:t>
      </w:r>
    </w:p>
    <w:p>
      <w:pPr>
        <w:pStyle w:val="Heading2"/>
      </w:pPr>
      <w:r>
        <w:t>Glossaire de lecture</w:t>
      </w:r>
    </w:p>
    <w:p>
      <w:r>
        <w:rPr>
          <w:b w:val="0"/>
        </w:rPr>
        <w:t>API : interface de dialogue entre logiciels. Agent : programme exécutant les travaux sur une machine. Connecteur : module adapté à un outil. Artefact : fichier produit ou conservé comme preuve. Idempotence : une demande répétée ne crée pas une seconde exécution. Quality gate : règle d’évaluation des résultats. CI/CD : chaîne de construction, vérification et livraison du logiciel. SSO : connexion unique. RTO : durée cible de reprise. RPO : perte de données maximale acceptée.</w:t>
      </w:r>
    </w:p>
    <w:p>
      <w:pPr>
        <w:pStyle w:val="Heading2"/>
      </w:pPr>
      <w:r>
        <w:t>Documents sources et règle de lecture</w:t>
      </w:r>
    </w:p>
    <w:p>
      <w:r>
        <w:rPr>
          <w:b w:val="0"/>
        </w:rPr>
        <w:t>[S1] ODACE CONSULTING — Dossier d’architecture fonctionnelle et technique, Plateforme TestOps de JS2E, version 2.0 du 23 octobre 2026, statut pour validation par JS2E. Fichier : JS2E_Dossier_architecture_fonctionnelle_technique_detaille_ODACE.pdf.</w:t>
      </w:r>
    </w:p>
    <w:p>
      <w:r>
        <w:rPr>
          <w:b w:val="0"/>
        </w:rPr>
        <w:t>[S2] ODACE CONSULTING — Guide de réalisation, Plateforme d’orchestration des tests, version 2.1 détaillée et illustrée du 23 octobre 2026, statut à valider avec l’architecte avant l’étape 1. Fichier : Guide_realisation_developpeurs_detaille_Plateforme_orchestration_ODACE (1).pdf.</w:t>
      </w:r>
    </w:p>
    <w:p>
      <w:r>
        <w:rPr>
          <w:b w:val="0"/>
        </w:rPr>
        <w:t>Le cahier des charges d’acquisition transmis ultérieurement n’est pas utilisé pour définir le périmètre de cette note. Les exemples chiffrés des sources et les capacités d’infrastructure restent des hypothèses ou illustrations tant qu’ils ne sont pas validés. Les références de sections permettent de revenir aux deux dossiers d’origine.</w:t>
      </w:r>
    </w:p>
    <w:sectPr w:rsidR="00FC693F" w:rsidRPr="0006063C" w:rsidSect="00034616">
      <w:headerReference w:type="default" r:id="rId9"/>
      <w:footerReference w:type="default" r:id="rId10"/>
      <w:pgSz w:w="12240" w:h="15840"/>
      <w:pgMar w:top="1008" w:right="1152" w:bottom="936"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Document de travail interne  •  Page </w:t>
    </w:r>
    <w:fldSimple w:instr="PAGE"/>
    <w:r>
      <w:rPr>
        <w:sz w:val="16"/>
      </w:rPr>
      <w:t xml:space="preserve"> sur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ODACE CONSULTING  |  NOTE DE COMPRÉHENSION DU PROJET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Compréhension du projet de plateforme d’orchestration des tests</dc:title>
  <dc:subject>Note de compréhension destinée à la Direction</dc:subject>
  <dc:creator>ODACE CONSULTING</dc:creator>
  <cp:keywords>orchestration, tests, JMeter, Selenium, architecture</cp:keywords>
  <dc:description>generated by python-docx</dc:description>
  <cp:lastModifiedBy/>
  <cp:revision>1</cp:revision>
  <dcterms:created xsi:type="dcterms:W3CDTF">2013-12-23T23:15:00Z</dcterms:created>
  <dcterms:modified xsi:type="dcterms:W3CDTF">2013-12-23T23:15:00Z</dcterms:modified>
  <cp:category/>
</cp:coreProperties>
</file>