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Pro-Spec Script vidéo</w:t>
      </w:r>
    </w:p>
    <w:p>
      <w:pPr>
        <w:pStyle w:val="Heading1"/>
      </w:pPr>
      <w:r>
        <w:t>Slide 01 — Pro-Spec</w:t>
      </w:r>
    </w:p>
    <w:p>
      <w:r>
        <w:t>Bonjour, je suis Olivier Dahan. Dans ce cours, je vous propose de découvrir Pro-Spec, une méthode empirique pour gouverner un projet logiciel réalisé avec l’intelligence artificielle. Le mot gouverner peut sembler imposant. Ici, il signifie simplement savoir ce que l’on veut, ce que l’on confie à l’IA, comment on contrôle son travail et ce que l’on conserve pour continuer demain.</w:t>
      </w:r>
    </w:p>
    <w:p>
      <w:r>
        <w:t>Cette méthode s’est construite au fil d’une vingtaine de développements avec l’IA. MyLocalAgent nous servira de terrain d’observation, car sa documentation rend la démarche particulièrement visible. Pour apprendre à l’appliquer, nous suivrons aussi un exemple beaucoup plus petit, un export de dossiers au format CSV. Nous allons le préparer, rencontrer une difficulté, vérifier le résultat et reprendre le travail dans une nouvelle session. Vous pourrez ensuite transposer cette démarche à votre propre projet.</w:t>
      </w:r>
    </w:p>
    <w:p>
      <w:pPr>
        <w:pStyle w:val="Heading1"/>
      </w:pPr>
      <w:r>
        <w:t>Slide 02 — Le parcours du cours</w:t>
      </w:r>
    </w:p>
    <w:p>
      <w:r>
        <w:t>Voici le parcours. Nous allons d’abord comprendre pourquoi la question de la méthode devient plus pressante lorsque l’on confie des travaux étendus à l’IA. Nous préciserons ensuite le rôle des documents, pour éviter de transformer la gouvernance en une collection de fichiers que personne ne relit.</w:t>
      </w:r>
    </w:p>
    <w:p>
      <w:r>
        <w:t>La plus grande partie du cours portera sur la conduite d’un lot. Notre export CSV nous permettra de voir ce que contient une spécification, ce que contient une fiche de lot et pourquoi les deux sont utiles. Nous écrirons également une décision dans le registre du projet, puis nous examinerons un rapport de vérification incomplet. Enfin, nous préparerons la reprise du travail par une autre session.</w:t>
      </w:r>
    </w:p>
    <w:p>
      <w:r>
        <w:t>En cours collectif, un exercice permettra de discuter les décisions. En vidéo, vous pourrez faire une pause au même endroit. L’objectif est de pouvoir préparer un premier lot à l’issue de cette présentation.</w:t>
      </w:r>
    </w:p>
    <w:p>
      <w:r>
        <w:br w:type="page"/>
      </w:r>
    </w:p>
    <w:p>
      <w:pPr>
        <w:pStyle w:val="Heading1"/>
      </w:pPr>
      <w:r>
        <w:t>Slide 03 — La délégation change d’échelle</w:t>
      </w:r>
    </w:p>
    <w:p>
      <w:r>
        <w:t>Lorsque l’IA écrit une petite fonction, la demande, le code et la vérification peuvent tenir sous nos yeux. Le contexte est assez limité pour que nous gardions facilement la maîtrise de l’ensemble. La situation change lorsque la modification traverse plusieurs fichiers, puis plusieurs composants.</w:t>
      </w:r>
    </w:p>
    <w:p>
      <w:r>
        <w:t>Un changement dans l’interface peut modifier le format enregistré. Ce format peut ensuite être lu par un service exécuté en arrière-plan. Une décision prise aujourd’hui devient alors une contrainte pour un travail réalisé la semaine suivante. Nous ne pouvons plus compter uniquement sur notre souvenir de la conversation.</w:t>
      </w:r>
    </w:p>
    <w:p>
      <w:r>
        <w:t>La progression affichée représente cette augmentation du travail délégué. Elle ne prétend pas dater les étapes de l’histoire de l’IA. Elle explique le besoin de méthode. Plus l’IA peut accomplir de choses, plus il devient utile de rendre explicites les règles qu’elle doit respecter et les preuves que nous attendons.</w:t>
      </w:r>
    </w:p>
    <w:p>
      <w:pPr>
        <w:pStyle w:val="Heading1"/>
      </w:pPr>
      <w:r>
        <w:t>Slide 04 — Le modèle et son harnais</w:t>
      </w:r>
    </w:p>
    <w:p>
      <w:r>
        <w:t>Deux termes méritent une explication simple. Le modèle est le système qui interprète notre demande et produit des réponses ou des propositions de modifications. On emploie parfois l’expression modèle frontière pour désigner les modèles les plus avancés disponibles à une période donnée.</w:t>
      </w:r>
    </w:p>
    <w:p>
      <w:r>
        <w:t>Le harnais est l’environnement de travail autour du modèle. Il lui permet, selon les outils et les autorisations, de lire des fichiers, de modifier du code ou de lancer des tests. Cette combinaison permet un travail beaucoup plus continu qu’un simple échange de texte.</w:t>
      </w:r>
    </w:p>
    <w:p>
      <w:r>
        <w:t>Cependant, les moyens d’action ne définissent pas à eux seuls le résultat attendu. Le projet a encore besoin de règles sur les données, de limites de périmètre et d’une définition de la réussite. Pro-Spec organise ce cadre de travail. Nous pouvons changer de modèle ou de harnais tout en conservant les décisions et les documents du projet.</w:t>
      </w:r>
    </w:p>
    <w:p>
      <w:r>
        <w:br w:type="page"/>
      </w:r>
    </w:p>
    <w:p>
      <w:pPr>
        <w:pStyle w:val="Heading1"/>
      </w:pPr>
      <w:r>
        <w:t>Slide 05 — Une méthode construite par la pratique</w:t>
      </w:r>
    </w:p>
    <w:p>
      <w:r>
        <w:t>Pro-Spec vient d’une pratique de développement. Au fil d’une vingtaine de projets avec l’IA, j’ai eu besoin de conserver les objectifs, de découper les travaux et d’éviter de répéter les mêmes contraintes dans chaque demande. La méthode a pris forme en répondant à ces difficultés concrètes.</w:t>
      </w:r>
    </w:p>
    <w:p>
      <w:r>
        <w:t>MyLocalAgent occupe une place importante dans cette présentation parce que sa surface fonctionnelle a demandé un usage poussé de cette organisation. Son dépôt permet d’observer des spécifications, des lots successifs, des décisions et des contrôles. Il fournit donc une matière utile pour expliquer la démarche.</w:t>
      </w:r>
    </w:p>
    <w:p>
      <w:r>
        <w:t>Il faut toutefois distinguer l’observation et la formalisation. Tous les documents historiques ne suivent pas exactement la même trame. Les identifiants uniformes et certains statuts que nous utiliserons sont des conventions proposées pour enseigner et réutiliser la méthode. Nous allons rendre la pratique explicite, sans lui attribuer une uniformité qu’elle n’avait pas encore.</w:t>
      </w:r>
    </w:p>
    <w:p>
      <w:pPr>
        <w:pStyle w:val="Heading1"/>
      </w:pPr>
      <w:r>
        <w:t>Slide 06 — Le terrain d’observation : MyLocalAgent</w:t>
      </w:r>
    </w:p>
    <w:p>
      <w:r>
        <w:t>MyLocalAgent est une application Windows qui permet de créer, d’exécuter et de planifier des tâches d’intelligence artificielle. Elle privilégie l’usage de modèles locaux, avec des possibilités cloud. Elle propose notamment la conversation, des workflows, la recherche web et documentaire, ainsi que le traitement de fichiers et des connecteurs vers des services externes.</w:t>
      </w:r>
    </w:p>
    <w:p>
      <w:r>
        <w:t>Ce qui nous intéresse ici est la combinaison de ces fonctions. L’interface et le moteur d’exécution sans interface doivent comprendre les mêmes données. Les permissions doivent rester cohérentes d’un parcours à l’autre. Les guides doivent décrire ce que la version livrée permet réellement de faire.</w:t>
      </w:r>
    </w:p>
    <w:p>
      <w:r>
        <w:t>Une modification apparemment locale peut donc toucher plusieurs contrats. C’est ce décor qui explique le besoin d’une gouvernance plus soutenue. Un prompt ponctuel aurait du mal à porter durablement l’ensemble des décisions. La documentation fournit une mémoire commune aux interventions successives.</w:t>
      </w:r>
    </w:p>
    <w:p>
      <w:r>
        <w:br w:type="page"/>
      </w:r>
    </w:p>
    <w:p>
      <w:pPr>
        <w:pStyle w:val="Heading1"/>
      </w:pPr>
      <w:r>
        <w:t>Slide 07 — La définition de Pro-Spec</w:t>
      </w:r>
    </w:p>
    <w:p>
      <w:r>
        <w:t>Nous pouvons maintenant donner une définition précise. Pro-Spec est une méthode empirique de gouvernance des projets logiciels réalisés par ou avec l’IA. Elle organise le travail autour d’une intention écrite, de lots bornés, de points de validation fondés sur des preuves et d’une mémoire maintenue dans le projet.</w:t>
      </w:r>
    </w:p>
    <w:p>
      <w:r>
        <w:t>Chaque élément a une fonction. L’intention écrite décrit le produit voulu. Le lot borne l’intervention que l’on peut entreprendre maintenant. La preuve permet de juger ce qui a réellement été vérifié. La mémoire conserve les décisions et les réserves utiles à la suite.</w:t>
      </w:r>
    </w:p>
    <w:p>
      <w:r>
        <w:t>Cette organisation peut fonctionner avec une seule personne et une IA. Le responsable humain fixe les objectifs et tranche les choix qui dépassent le mandat. L’IA peut prendre des décisions techniques à l’intérieur du cadre confié. Le volume de documents doit rester proportionné au projet et aux conséquences des changements.</w:t>
      </w:r>
    </w:p>
    <w:p>
      <w:pPr>
        <w:pStyle w:val="Heading1"/>
      </w:pPr>
      <w:r>
        <w:t>Slide 08 — Notre exemple suivi</w:t>
      </w:r>
    </w:p>
    <w:p>
      <w:r>
        <w:t>Voici la demande qui va nous accompagner. Dans une application fictive de suivi de dossiers, un utilisateur souhaite exporter la liste au format CSV pour la reprendre dans un tableur. La phrase paraît simple. Pourtant, elle laisse plusieurs décisions ouvertes.</w:t>
      </w:r>
    </w:p>
    <w:p>
      <w:r>
        <w:t>Faut-il exporter la page affichée ou tous les résultats du filtre ? Quelles colonnes faut-il inclure ? Les commentaires internes peuvent-ils sortir de l’application ? Que se passe-t-il si un utilisateur tente d’exporter des dossiers auxquels il n’a pas accès ? Et quel fichier doit-on produire lorsque la liste est vide ?</w:t>
      </w:r>
    </w:p>
    <w:p>
      <w:r>
        <w:t>Ces questions ne sont pas des raffinements décoratifs. Elles changent le comportement du produit et la manière de le vérifier. Nous allons donc transformer cette demande en un mandat concret. Tous les résultats et décisions de cet exemple sont fictifs. Ils servent à montrer la méthode, sans prétendre décrire une fonctionnalité de MyLocalAgent.</w:t>
      </w:r>
    </w:p>
    <w:p>
      <w:r>
        <w:br w:type="page"/>
      </w:r>
    </w:p>
    <w:p>
      <w:pPr>
        <w:pStyle w:val="Heading1"/>
      </w:pPr>
      <w:r>
        <w:t>Slide 09 — Les cinq rôles documentaires du socle</w:t>
      </w:r>
    </w:p>
    <w:p>
      <w:r>
        <w:t>Pour commencer, cinq rôles documentaires suffisent à rendre le travail lisible. La spécification décrit le produit voulu et ses règles communes. L’index indique les lots, leurs dépendances et la fiche actuellement active. La fiche de lot donne le mandat de l’intervention en cours.</w:t>
      </w:r>
    </w:p>
    <w:p>
      <w:r>
        <w:t>Le ledger, que l’on peut appeler registre des décisions et des livraisons, conserve ce qui a été décidé, pour quelle raison et avec quelles conséquences. Enfin, le rapport de contrôle relie les critères attendus aux vérifications réellement réalisées.</w:t>
      </w:r>
    </w:p>
    <w:p>
      <w:r>
        <w:t>Il s’agit de rôles, pas d’une obligation de créer exactement cinq fichiers. Sur un petit projet, l’index et les vérifications peuvent être des sections d’un même document. La condition est de retrouver facilement la réponse à chaque question. Dans notre exemple, le contrat durable sur les droits appartient à la spécification. Les colonnes de cet export et ses contrôles appartiennent à la fiche du lot.</w:t>
      </w:r>
    </w:p>
    <w:p>
      <w:pPr>
        <w:pStyle w:val="Heading1"/>
      </w:pPr>
      <w:r>
        <w:t>Slide 10 — Les documents qui entourent le socle</w:t>
      </w:r>
    </w:p>
    <w:p>
      <w:r>
        <w:t>Autour du socle, d’autres documents ont un rôle très concret. Le README présente le produit et son démarrage. Les instructions de travail indiquent les conventions du dépôt, les commandes et les limites d’action. Leur nom dépend de l’outil utilisé, mais leur fonction reste la même.</w:t>
      </w:r>
    </w:p>
    <w:p>
      <w:r>
        <w:t>La documentation technique décrit les contrats que le développeur ou l’intégrateur doit respecter. La documentation utilisateur explique les tâches que l’on peut réellement accomplir. Dans notre export CSV, elle devra préciser la portée du filtre et les colonnes disponibles.</w:t>
      </w:r>
    </w:p>
    <w:p>
      <w:r>
        <w:t>Les exemples et les audits servent à vérifier des usages ou des risques particuliers. Les archives conservent l’histoire tout en indiquant clairement qu’un document n’est plus actif. Une archive mal signalée peut réintroduire une ancienne exigence dans le travail courant. Le maintien des liens entre ces documents fait donc partie du développement.</w:t>
      </w:r>
    </w:p>
    <w:p>
      <w:r>
        <w:br w:type="page"/>
      </w:r>
    </w:p>
    <w:p>
      <w:pPr>
        <w:pStyle w:val="Heading1"/>
      </w:pPr>
      <w:r>
        <w:t>Slide 11 — Le cycle d’un lot</w:t>
      </w:r>
    </w:p>
    <w:p>
      <w:r>
        <w:t>Le cycle d’un lot comporte quatre moments faciles à retenir. La préparation rassemble le contexte, borne le travail et définit les critères de réussite. La réalisation produit les changements tout en conservant les décisions significatives. La vérification confronte le résultat aux critères. La transmission met le projet en état d’être repris.</w:t>
      </w:r>
    </w:p>
    <w:p>
      <w:r>
        <w:t>Ces moments ne sont pas étanches. On vérifie déjà pendant la réalisation et on écrit une décision lorsqu’elle intervient. Le schéma représente surtout les responsabilités à couvrir avant de considérer le lot comme terminé.</w:t>
      </w:r>
    </w:p>
    <w:p>
      <w:r>
        <w:t>Un lot utile produit un résultat cohérent que l’on peut expliquer et contrôler. Il peut être nécessaire d’insérer un travail préparatoire lorsqu’une dépendance manque. Dans notre exemple, l’export dépend de règles de filtrage et d’accès déjà établies. Si ces règles sont ambiguës, leur clarification précède la réalisation de l’export. L’ordre des travaux suit ainsi les dépendances réelles.</w:t>
      </w:r>
    </w:p>
    <w:p>
      <w:pPr>
        <w:pStyle w:val="Heading1"/>
      </w:pPr>
      <w:r>
        <w:t>Slide 12 — La spécification partagée</w:t>
      </w:r>
    </w:p>
    <w:p>
      <w:r>
        <w:t>La spécification partagée décrit ce qui doit rester vrai au-delà du lot du jour. Dans notre application, l’utilisateur suit ses dossiers et peut réutiliser les données auxquelles il a accès. Nous inscrivons donc une règle commune sur les droits. Chaque parcours doit respecter les mêmes restrictions.</w:t>
      </w:r>
    </w:p>
    <w:p>
      <w:r>
        <w:t>Nous ajoutons également une règle sur les commentaires internes. Pour cet exemple, le responsable du produit décide qu’ils ne doivent pas figurer dans les exports. Cette règle pourrait concerner d’autres fonctions à l’avenir. Elle mérite donc une place dans le contrat commun.</w:t>
      </w:r>
    </w:p>
    <w:p>
      <w:r>
        <w:t>La spécification doit expliquer le résultat utile, les utilisateurs, les exclusions et les contraintes partagées. Elle peut contenir des contrats de formats ou d’interfaces lorsque plusieurs composants en dépendent. Une référence stable, comme R-01, facilite ensuite les liens vers les lots et leurs preuves. Ces identifiants sont une convention pédagogique proposée.</w:t>
      </w:r>
    </w:p>
    <w:p>
      <w:r>
        <w:br w:type="page"/>
      </w:r>
    </w:p>
    <w:p>
      <w:pPr>
        <w:pStyle w:val="Heading1"/>
      </w:pPr>
      <w:r>
        <w:t>Slide 13 — L’ordre des lots suit les dépendances</w:t>
      </w:r>
    </w:p>
    <w:p>
      <w:r>
        <w:t>L’index des lots rend visibles l’ordre et les dépendances. Dans notre scénario, un premier lot établit la liste et les filtres. Un second définit et vérifie les droits d’accès. Le troisième ajoute l’export en s’appuyant sur ces deux contrats.</w:t>
      </w:r>
    </w:p>
    <w:p>
      <w:r>
        <w:t>Cet ordre est propre à l’exemple. Sur un autre produit, on pourrait construire les droits plus tôt ou mener certains travaux en parallèle. La règle générale consiste à identifier ce dont un lot a besoin pour produire un résultat vérifiable.</w:t>
      </w:r>
    </w:p>
    <w:p>
      <w:r>
        <w:t>L’index doit également donner le statut et le lien vers la fiche active. Un numéro de fichier ne suffit pas. Une fiche peut avoir été remplacée ou un lot préparatoire ajouté. Si l’export révèle une faiblesse du filtrage, nous pouvons insérer un travail préalable et actualiser les dépendances. Le plan reste lisible lorsque sa révision apparaît explicitement dans les documents.</w:t>
      </w:r>
    </w:p>
    <w:p>
      <w:pPr>
        <w:pStyle w:val="Heading1"/>
      </w:pPr>
      <w:r>
        <w:t>Slide 14 — La structure d’une fiche de lot</w:t>
      </w:r>
    </w:p>
    <w:p>
      <w:r>
        <w:t>La fiche de lot transforme l’intention générale en une intervention bornée. Elle commence par les lectures et les dépendances, pour que l’IA retrouve les bonnes décisions avant de modifier le projet. Elle décrit ensuite le résultat attendu et les limites du périmètre.</w:t>
      </w:r>
    </w:p>
    <w:p>
      <w:r>
        <w:t>Les contrats méritent une attention particulière. Ils précisent les entrées, les sorties, les erreurs et les contraintes de compatibilité. La fiche expose aussi les décisions déjà prises et celles qui restent ouvertes. L’IA peut alors distinguer un choix d’implémentation d’une décision produit à soumettre.</w:t>
      </w:r>
    </w:p>
    <w:p>
      <w:r>
        <w:t>Enfin, elle annonce les conditions de clôture. Quels contrôles faut-il exécuter ? Quels documents doivent évoluer ? Quel compte rendu doit rester disponible ? Dans les lots observés de MyLocalAgent, ces fonctions reviennent avec des niveaux de détail variables. Notre trame les rassemble pour les rendre plus faciles à réutiliser.</w:t>
      </w:r>
    </w:p>
    <w:p>
      <w:r>
        <w:br w:type="page"/>
      </w:r>
    </w:p>
    <w:p>
      <w:pPr>
        <w:pStyle w:val="Heading1"/>
      </w:pPr>
      <w:r>
        <w:t>Slide 15 — L-03 : un mandat concret</w:t>
      </w:r>
    </w:p>
    <w:p>
      <w:r>
        <w:t>Voici notre fiche de lot résumée. L’export porte sur tous les dossiers correspondant au filtre actif et accessibles à l’utilisateur, même si l’écran n’en affiche qu’une page. Le fichier contient trois colonnes, l’identifiant, le titre et le statut. Nous retenons un encodage UTF-8 et un en-tête conservé lorsque le résultat est vide.</w:t>
      </w:r>
    </w:p>
    <w:p>
      <w:r>
        <w:t>Le mandat exclut les commentaires internes et l’envoi automatique du fichier. Il prévoit des contrôles sur les droits, le filtre, les caractères accentués et la liste vide. Dans une fiche complète, nous préciserions aussi le séparateur, les règles de citation des champs et les erreurs d’écriture.</w:t>
      </w:r>
    </w:p>
    <w:p>
      <w:r>
        <w:t>Ces choix sont maintenant visibles et discutables avant la réalisation. Ils évitent que l’IA devine ce que signifie exporter la liste. Nous pourrons revenir à cette fiche pour juger le résultat, sans réécrire la définition de la réussite après avoir vu ce qui fonctionne.</w:t>
      </w:r>
    </w:p>
    <w:p>
      <w:pPr>
        <w:pStyle w:val="Heading1"/>
      </w:pPr>
      <w:r>
        <w:t>Slide 16 — Les lectures avant le travail</w:t>
      </w:r>
    </w:p>
    <w:p>
      <w:r>
        <w:t>Avant de travailler, l’IA doit reconstruire le contexte utile. Elle commence par les règles du dépôt et l’index, pour identifier les commandes applicables et la fiche active. Elle lit cette fiche, puis les références qu’elle impose, notamment la spécification et les décisions du ledger.</w:t>
      </w:r>
    </w:p>
    <w:p>
      <w:r>
        <w:t>Elle confronte ensuite ces documents au code et aux tests existants. Le dépôt peut contenir des modifications locales ou des écarts qu’il faut comprendre avant d’ajouter un changement. Lire seulement le prompt ne suffit donc pas.</w:t>
      </w:r>
    </w:p>
    <w:p>
      <w:r>
        <w:t>Dans la pratique d’origine, de nombreux lots demandent une lecture complète de la spécification et du ledger. Une lecture ciblée peut devenir utile lorsque le volume augmente, à condition de disposer d’un index fiable et d’une synthèse réellement maintenue. Elle ne doit pas servir à ignorer une lecture obligatoire. Pour notre export, l’IA doit notamment retrouver les contrats de filtrage et de droits.</w:t>
      </w:r>
    </w:p>
    <w:p>
      <w:r>
        <w:br w:type="page"/>
      </w:r>
    </w:p>
    <w:p>
      <w:pPr>
        <w:pStyle w:val="Heading1"/>
      </w:pPr>
      <w:r>
        <w:t>Slide 17 — Le prompt d’exécution</w:t>
      </w:r>
    </w:p>
    <w:p>
      <w:r>
        <w:t>Lorsque les documents existent, le prompt d’exécution peut rester court. Il désigne la fiche active, impose ses lectures et rappelle les responsabilités de clôture. Nous pouvons demander de réaliser L-03 à partir de sa fiche, de respecter son périmètre, de tracer les décisions et de présenter les contrôles exécutés.</w:t>
      </w:r>
    </w:p>
    <w:p>
      <w:r>
        <w:t>Le détail du comportement reste dans le document du lot. Nous évitons ainsi de maintenir deux versions du même contrat, l’une dans un fichier et l’autre dans une conversation. Une correction de périmètre doit mettre à jour la référence active de manière explicite.</w:t>
      </w:r>
    </w:p>
    <w:p>
      <w:r>
        <w:t>Le prompt peut également rappeler la limite de délégation. L’IA choisit une solution technique à l’intérieur du mandat. Si une question change les données exportées, les droits ou les critères d’acceptation, elle doit exposer le choix précis à arbitrer. Le bénéfice recherché est une reprise plus simple, avec moins de répétitions et moins de décisions implicites.</w:t>
      </w:r>
    </w:p>
    <w:p>
      <w:pPr>
        <w:pStyle w:val="Heading1"/>
      </w:pPr>
      <w:r>
        <w:t>Slide 18 — Pendant le lot : une difficulté apparaît</w:t>
      </w:r>
    </w:p>
    <w:p>
      <w:r>
        <w:t>Pendant l’examen du code, l’IA découvre un utilitaire d’export qui peut recevoir toutes les propriétés d’un dossier, y compris les commentaires internes. Cette capacité technique ne constitue pas une autorisation produit. Notre mandat indique exactement les colonnes à exporter.</w:t>
      </w:r>
    </w:p>
    <w:p>
      <w:r>
        <w:t>L’IA peut réutiliser l’utilitaire avec une liste explicite des champs autorisés, si cette solution respecte les contraintes techniques. Elle doit ensuite contrôler que les commentaires restent absents du fichier. C’est un choix d’implémentation à l’intérieur du mandat.</w:t>
      </w:r>
    </w:p>
    <w:p>
      <w:r>
        <w:t>En revanche, décider d’ajouter les commentaires parce que cela paraît pratique modifierait le produit. Il faudrait un arbitrage explicite. Il en irait de même pour un envoi automatique du fichier. Cette distinction permet à l’IA de continuer les travaux autorisés tout en isolant les décisions qui dépassent son rôle. Elle évite de bloquer tout le lot pour une question qui ne concerne qu’une branche du travail.</w:t>
      </w:r>
    </w:p>
    <w:p>
      <w:r>
        <w:br w:type="page"/>
      </w:r>
    </w:p>
    <w:p>
      <w:pPr>
        <w:pStyle w:val="Heading1"/>
      </w:pPr>
      <w:r>
        <w:t>Slide 19 — Le ledger conserve le pourquoi</w:t>
      </w:r>
    </w:p>
    <w:p>
      <w:r>
        <w:t>Le ledger conserve ici une décision simple, D-07. L’export utilise une liste explicite limitée à l’identifiant, au titre et au statut. Le motif est le respect de la règle R-02. La portée concerne l’export CSV du lot L-03, et la conséquence est un contrôle du jeu exact de colonnes.</w:t>
      </w:r>
    </w:p>
    <w:p>
      <w:r>
        <w:t>Une entrée complète porterait aussi la date, l’auteur ou l’autorisation de la décision et les liens vers les éléments concernés. Elle permet de comprendre pourquoi l’équipe a choisi cette solution. Lors d’une évolution future, nous pourrons distinguer une précaution délibérée d’une limitation accidentelle.</w:t>
      </w:r>
    </w:p>
    <w:p>
      <w:r>
        <w:t>Le registre ne doit pas devenir une copie de chaque échange ou de chaque ligne modifiée. Il conserve les décisions significatives, les changements de contrat, les écarts et les preuves utiles. Pour être fiable, il faut le maintenir lorsque les décisions se prennent, puis vérifier sa cohérence au moment de la clôture.</w:t>
      </w:r>
    </w:p>
    <w:p>
      <w:pPr>
        <w:pStyle w:val="Heading1"/>
      </w:pPr>
      <w:r>
        <w:t>Slide 20 — Quand les références se contredisent</w:t>
      </w:r>
    </w:p>
    <w:p>
      <w:r>
        <w:t>Une difficulté fréquente est la contradiction entre un ancien document et le comportement actuel. Le premier réflexe consiste à rechercher une décision explicite de remplacement. Que remplace-t-elle, avec quelle portée et sous quelle autorité ? Si elle existe, nous appliquons cette portée et nous corrigeons les références actives qui induisent en erreur.</w:t>
      </w:r>
    </w:p>
    <w:p>
      <w:r>
        <w:t>Sans cette décision, il faut qualifier l’écart. Si le code viole une exigence active, nous avons un défaut ou une demande de changement à examiner. Le fait que le comportement existe ne suffit pas à le rendre légitime. Si deux intentions actives restent incompatibles, le responsable doit trancher ce point précis.</w:t>
      </w:r>
    </w:p>
    <w:p>
      <w:r>
        <w:t>Dans notre exemple, un vieux guide qui mentionnerait les commentaires internes ne pourrait pas annuler silencieusement R-02. Nous vérifierions son statut et l’historique. La résolution laisserait une trace du motif, ainsi qu’une mise à jour des documents concernés.</w:t>
      </w:r>
    </w:p>
    <w:p>
      <w:r>
        <w:br w:type="page"/>
      </w:r>
    </w:p>
    <w:p>
      <w:pPr>
        <w:pStyle w:val="Heading1"/>
      </w:pPr>
      <w:r>
        <w:t>Slide 21 — Les points de validation</w:t>
      </w:r>
    </w:p>
    <w:p>
      <w:r>
        <w:t>Un point de validation, ou gate, est une condition de passage. Les quatre repères affichés sont une convention proposée pour enseigner la méthode. P0 signifie que le mandat est prêt. Les dépendances sont disponibles et les critères suffisamment précis pour commencer.</w:t>
      </w:r>
    </w:p>
    <w:p>
      <w:r>
        <w:t>P1 est facultatif. Il sert lorsqu’une inconnue importante justifie une exploration de faisabilité avant un investissement plus large. P2 concerne la vérification du lot. Les critères disposent de résultats et de preuves que l’on peut examiner. P3 concerne l’acceptation du résultat pour l’usage prévu.</w:t>
      </w:r>
    </w:p>
    <w:p>
      <w:r>
        <w:t>Ces distinctions évitent de confondre compilation réussie, lot contrôlé, produit accepté et déploiement. Dans MyLocalAgent, les points de validation se trouvent dans les étapes et les listes d’acceptation. Leur forme varie. Le principe réutilisable consiste à définir les conditions de passage et à conserver le résultat réel des contrôles. Un point de validation sans preuve resterait une simple déclaration.</w:t>
      </w:r>
    </w:p>
    <w:p>
      <w:pPr>
        <w:pStyle w:val="Heading1"/>
      </w:pPr>
      <w:r>
        <w:t>Slide 22 — Les quatre états d’un contrôle</w:t>
      </w:r>
    </w:p>
    <w:p>
      <w:r>
        <w:t>Un rapport de contrôle gagne beaucoup en clarté lorsqu’il distingue quatre états. Réussi signifie que le contrôle a réellement été exécuté et que le résultat attendu a été observé. Échoué signifie qu’un écart a été constaté. Non exécuté signifie que la preuve manque, avec un motif et une action restante.</w:t>
      </w:r>
    </w:p>
    <w:p>
      <w:r>
        <w:t>Non applicable répond à une autre situation. Le contrôle ne concerne pas le cas étudié, ce qu’il faut justifier. Ce statut ne doit pas masquer l’absence d’un environnement nécessaire ou une difficulté d’exécution.</w:t>
      </w:r>
    </w:p>
    <w:p>
      <w:r>
        <w:t>Chaque preuve doit indiquer ce qui a été contrôlé et dans quelles conditions. Un test sur des données synthétiques établit une propriété dans ce contexte. Il ne prouve pas automatiquement le parcours utilisateur complet. Pour notre export, contrôler les octets du fichier et ouvrir ce fichier dans le tableur cible apportent des informations différentes. Nous devons conserver cette différence dans le rapport.</w:t>
      </w:r>
    </w:p>
    <w:p>
      <w:r>
        <w:br w:type="page"/>
      </w:r>
    </w:p>
    <w:p>
      <w:pPr>
        <w:pStyle w:val="Heading1"/>
      </w:pPr>
      <w:r>
        <w:t>Slide 23 — L-03 : le rapport reste incomplet</w:t>
      </w:r>
    </w:p>
    <w:p>
      <w:r>
        <w:t>Examinons notre rapport fictif. Le contrôle des droits réussit, seuls les dossiers autorisés figurent dans l’export. Le contrôle du filtre réussit également, avec l’ensemble des résultats attendus. Les contrôles du fichier confirment les colonnes, l’encodage et le cas vide.</w:t>
      </w:r>
    </w:p>
    <w:p>
      <w:r>
        <w:t>En revanche, personne n’a encore ouvert le fichier dans le tableur cible, car cet environnement n’était pas disponible. Le rapport indique donc non exécuté pour V-04. Il ne transforme pas cette absence en succès.</w:t>
      </w:r>
    </w:p>
    <w:p>
      <w:r>
        <w:t>La conclusion doit refléter cette situation. Les contrôles réalisés apportent des preuves utiles, mais l’acceptation reste en attente du parcours prévu. Le responsable peut décider de différer l’usage ou d’accepter explicitement une réserve dans un autre contexte. Dans notre scénario, nous conservons le statut à accepter et nous programmons le contrôle restant. Aucun de ces résultats ne démontre que le logiciel a été déployé.</w:t>
      </w:r>
    </w:p>
    <w:p>
      <w:pPr>
        <w:pStyle w:val="Heading1"/>
      </w:pPr>
      <w:r>
        <w:t>Slide 24 — La clôture et les documents à maintenir</w:t>
      </w:r>
    </w:p>
    <w:p>
      <w:r>
        <w:t>La clôture ne consiste pas seulement à annoncer les fichiers modifiés. Elle remet en cohérence les références du projet. Dans notre exemple, le ledger contient D-07. Le guide utilisateur explique que l’export couvre les résultats du filtre et précise les colonnes. La documentation technique décrit le format produit.</w:t>
      </w:r>
    </w:p>
    <w:p>
      <w:r>
        <w:t>Le rapport conserve l’état de chaque contrôle. L’index indique que L-03 reste à accepter et pointe vers la réserve concernant le tableur. Le compte rendu final donne la prochaine action, assez précisément pour qu’une autre session puisse l’exécuter.</w:t>
      </w:r>
    </w:p>
    <w:p>
      <w:r>
        <w:t>Il n’est pas nécessaire de réécrire tous les documents à chaque lot. Il faut actualiser ceux que le changement affecte, et signaler honnêtement les vérifications qui manquent. Cette discipline crée la continuité recherchée. La prochaine intervention retrouvera un état explicite au lieu de devoir reconstruire les intentions à partir d’une longue conversation.</w:t>
      </w:r>
    </w:p>
    <w:p>
      <w:r>
        <w:br w:type="page"/>
      </w:r>
    </w:p>
    <w:p>
      <w:pPr>
        <w:pStyle w:val="Heading1"/>
      </w:pPr>
      <w:r>
        <w:t>Slide 25 — La reprise dans une nouvelle session</w:t>
      </w:r>
    </w:p>
    <w:p>
      <w:r>
        <w:t>Imaginons maintenant une nouvelle session, avec une IA qui ne dispose pas de la conversation précédente. Le prompt de reprise désigne L-03 et le contrôle V-04. Il renvoie vers l’index, la fiche active, la décision D-07 et le rapport de contrôle.</w:t>
      </w:r>
    </w:p>
    <w:p>
      <w:r>
        <w:t>L’IA peut ainsi comprendre ce qui existe déjà et ce qui manque. Elle n’a pas à refaire les choix de colonnes ou à réimplémenter l’export. Elle vérifie le parcours dans le tableur cible, à partir du jeu de données prévu, puis consigne le résultat. Dans la suite de notre scénario fictif, les accents et les colonnes apparaissent correctement. V-04 réussit et le responsable accepte L-03. Le rapport et l’index conservent cette décision, sans la confondre avec un déploiement.</w:t>
      </w:r>
    </w:p>
    <w:p>
      <w:r>
        <w:t>En cas d’interruption au milieu d’un travail, la même logique s’applique. Il faut laisser les modifications réalisées, les contrôles lancés, les échecs éventuels et la prochaine action. Une question encore ouverte doit apparaître comme telle. La qualité de cette transmission se mesure à la facilité de reprendre sans deviner.</w:t>
      </w:r>
    </w:p>
    <w:p>
      <w:pPr>
        <w:pStyle w:val="Heading1"/>
      </w:pPr>
      <w:r>
        <w:t>Slide 26 — Les révisions et les archives</w:t>
      </w:r>
    </w:p>
    <w:p>
      <w:r>
        <w:t>La méthode doit permettre au produit d’évoluer. Supposons que l’on souhaite maintenant ajouter la date de clôture à l’export. Ce besoin peut être légitime. Nous le traitons comme une nouvelle décision et une révision de périmètre, avec les conséquences sur le format, les contrôles et les guides.</w:t>
      </w:r>
    </w:p>
    <w:p>
      <w:r>
        <w:t>La version précédente reste utile pour comprendre l’histoire. Elle doit cependant porter un statut explicite et un lien vers son successeur. L’index pointe vers la fiche active et les liens courants ne doivent plus ramener par erreur à l’ancienne consigne.</w:t>
      </w:r>
    </w:p>
    <w:p>
      <w:r>
        <w:t>Une décision verrouillée signifie qu’on ne la rouvre pas spontanément pendant un lot. Le responsable conserve la possibilité de la modifier de manière tracée. Dans les archives observées de MyLocalAgent, certaines propositions portent une interdiction d’implémentation. Ce signal aide à conserver la mémoire sans transformer chaque ancien texte en instruction actuelle.</w:t>
      </w:r>
    </w:p>
    <w:p>
      <w:r>
        <w:br w:type="page"/>
      </w:r>
    </w:p>
    <w:p>
      <w:pPr>
        <w:pStyle w:val="Heading1"/>
      </w:pPr>
      <w:r>
        <w:t>Slide 27 — Les limites observées de la pratique</w:t>
      </w:r>
    </w:p>
    <w:p>
      <w:r>
        <w:t>Il serait trompeur de présenter une méthode empirique comme un mécanisme parfait. Le corpus de MyLocalAgent montre aussi les problèmes qui peuvent apparaître. La spécification et le ledger prennent du volume. L’index peut conserver un lien vers une version remplacée. Une ancienne règle peut diverger de l’état du produit.</w:t>
      </w:r>
    </w:p>
    <w:p>
      <w:r>
        <w:t>Ces observations donnent des pistes d’entretien très concrètes. Il faut un point d’entrée fiable, des statuts lisibles, une distinction entre décisions actives et histoire, ainsi qu’une vérification des références lors des révisions. Une synthèse peut aider à la lecture si quelqu’un la maintient réellement.</w:t>
      </w:r>
    </w:p>
    <w:p>
      <w:r>
        <w:t>Les preuves ont également leurs limites. Un contrôle technique réussi n’établit pas tout l’usage du produit. Pro-Spec rend ces limites visibles et aide à organiser leur traitement. Le corpus ne permet pas de chiffrer un gain de productivité attribuable à la méthode. Nous présentons une démarche de maîtrise du travail, avec ses coûts et ses exigences.</w:t>
      </w:r>
    </w:p>
    <w:p>
      <w:pPr>
        <w:pStyle w:val="Heading1"/>
      </w:pPr>
      <w:r>
        <w:t>Slide 28 — Tests du logiciel et qualité de l’IA</w:t>
      </w:r>
    </w:p>
    <w:p>
      <w:r>
        <w:t>Un projet réalisé avec l’IA peut contenir des fonctions parfaitement déterministes, comme notre export CSV. Il peut aussi intégrer lui-même des fonctions d’intelligence artificielle. Les preuves attendues diffèrent selon ce que l’on cherche à établir.</w:t>
      </w:r>
    </w:p>
    <w:p>
      <w:r>
        <w:t>Un test déterministe peut vérifier les colonnes exactes, les droits ou la gestion d’une erreur. Pour une fonction qui produit des réponses ou classe des documents, la qualité exige aussi une évaluation sur des cas représentatifs et des critères explicites. Le bon fonctionnement du mécanisme ne suffit pas à établir la pertinence des résultats.</w:t>
      </w:r>
    </w:p>
    <w:p>
      <w:r>
        <w:t>Dans la documentation de MyLocalAgent, cette distinction apparaît notamment autour des évaluations et des briefs correctifs. La leçon pour Pro-Spec est simple. Avant de choisir un contrôle, il faut formuler la propriété que l’on veut prouver. On conserve ensuite le périmètre, les données et les limites de la preuve. Cela évite d’étendre une conclusion au-delà de ce qui a été observé.</w:t>
      </w:r>
    </w:p>
    <w:p>
      <w:r>
        <w:br w:type="page"/>
      </w:r>
    </w:p>
    <w:p>
      <w:pPr>
        <w:pStyle w:val="Heading1"/>
      </w:pPr>
      <w:r>
        <w:t>Slide 29 — Exercice : le lot peut-il être accepté ?</w:t>
      </w:r>
    </w:p>
    <w:p>
      <w:r>
        <w:t>Prenons un instant pour appliquer la méthode. Nous sommes à la fin de L-03. Les tests automatisés passent, mais le tableur cible n’a toujours pas été essayé. Dans son dernier message, l’IA écrit simplement terminé. À partir de ce que nous venons de voir, quel statut faut-il retenir ?</w:t>
      </w:r>
    </w:p>
    <w:p>
      <w:r>
        <w:t>Je vous propose également deux questions complémentaires. Quels documents doivent conserver cette situation ? Et quelle action précise faut-il confier à une nouvelle session pour avancer ? Essayez de formuler une réponse qui serait utilisable par quelqu’un qui n’a pas suivi la conversation.</w:t>
      </w:r>
    </w:p>
    <w:p>
      <w:r>
        <w:t>Si vous regardez la vidéo, vous pouvez la mettre en pause et noter votre réponse. En cours collectif, nous pouvons prendre quelques minutes pour comparer les propositions. Il n’est pas nécessaire de rédiger un long rapport. L’essentiel est de distinguer le travail réalisé, la preuve manquante et la décision qui reste à prendre.</w:t>
      </w:r>
    </w:p>
    <w:p>
      <w:pPr>
        <w:pStyle w:val="Heading1"/>
      </w:pPr>
      <w:r>
        <w:t>Slide 30 — Réponse : un état précis et une suite</w:t>
      </w:r>
    </w:p>
    <w:p>
      <w:r>
        <w:t>Dans notre scénario, le statut à accepter est le plus précis. Les trois premiers contrôles ont réussi. V-04 reste non exécuté et son motif apparaît dans le rapport. L’index doit refléter la même situation. Le mot terminé peut décrire la fin d’une intervention, mais il ne suffit pas à qualifier l’acceptation du lot.</w:t>
      </w:r>
    </w:p>
    <w:p>
      <w:r>
        <w:t>La prochaine action est d’exécuter V-04 dans le tableur cible, avec les données et le résultat attendu prévus. Il faut conserver l’observation, puis permettre au responsable de statuer. Le déploiement reste une information distincte.</w:t>
      </w:r>
    </w:p>
    <w:p>
      <w:r>
        <w:t>Le responsable pourrait, dans un autre contexte, accepter une réserve en connaissant ses conséquences. Cette décision devrait elle aussi être explicite. Ce que la méthode cherche à éviter est une acceptation implicite déduite d’un message optimiste. La réponse utile décrit ce que l’on sait, ce que l’on ignore encore et la manière de lever cette incertitude.</w:t>
      </w:r>
    </w:p>
    <w:p>
      <w:r>
        <w:br w:type="page"/>
      </w:r>
    </w:p>
    <w:p>
      <w:pPr>
        <w:pStyle w:val="Heading1"/>
      </w:pPr>
      <w:r>
        <w:t>Slide 31 — Un premier usage de Pro-Spec</w:t>
      </w:r>
    </w:p>
    <w:p>
      <w:r>
        <w:t>Pour appliquer Pro-Spec à votre prochain projet, vous pouvez commencer avec une organisation très légère. Écrivez le résultat utile et les règles qui doivent rester vraies. Choisissez ensuite un lot suffisamment cohérent pour être réalisé et vérifié, puis indiquez ses lectures, ses limites et ses critères.</w:t>
      </w:r>
    </w:p>
    <w:p>
      <w:r>
        <w:t>Pendant le travail, conservez les décisions qui auront une conséquence pour la suite. À la fin, reliez chaque critère à un contrôle réel et qualifiez les preuves manquantes. Actualisez les références concernées et laissez une prochaine action explicite.</w:t>
      </w:r>
    </w:p>
    <w:p>
      <w:r>
        <w:t>Le nombre de documents augmente seulement lorsque les rôles deviennent difficiles à retrouver dans un même fichier. La bonne question est de savoir si une nouvelle intervention peut comprendre le mandat et juger le résultat sans deviner. L’exemple de l’export montre cette continuité sur un petit périmètre. La même logique peut ensuite accompagner un logiciel beaucoup plus étendu, avec davantage de dépendances et de points de validation.</w:t>
      </w:r>
    </w:p>
    <w:p>
      <w:pPr>
        <w:pStyle w:val="Heading1"/>
      </w:pPr>
      <w:r>
        <w:t>Slide 32 — L’auteur et les ressources</w:t>
      </w:r>
    </w:p>
    <w:p>
      <w:r>
        <w:t>Nous arrivons au terme de ce cours. Nous avons suivi une demande courte, puis construit le cadre qui permettait de la réaliser, de la vérifier et de la reprendre. Le document de formalisation de Pro-Spec fournit les trames de spécification, de fiche de lot, de ledger, de rapport et de prompts pour prolonger ce travail.</w:t>
      </w:r>
    </w:p>
    <w:p>
      <w:r>
        <w:t>Je suis Olivier Dahan, architecte Senior .NET et Microsoft MVP depuis 2008. Je travaille en indépendant, j’écris et je forme les développeurs. Depuis 2007, j’ai publié plus de mille trois cents articles sur DotBlog. Je partage aussi cette expérience avec les éditeurs de logiciels et les entreprises qui disposent d’un pôle informatique interne.</w:t>
      </w:r>
    </w:p>
    <w:p>
      <w:r>
        <w:t>Vous trouverez mes coordonnées à l’écran pour poursuivre les échanges. Je vous propose maintenant de choisir un lot réel dans votre projet et de préparer les documents qui permettront de le reprendre sans réexpliquer toute son histoire. Merci de votre attention.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 Script vidéo</dc:title>
  <dc:subject/>
  <dc:creator>Olivier Dahan</dc:creator>
  <cp:keywords/>
  <dc:description>generated by python-docx</dc:description>
  <cp:lastModifiedBy/>
  <cp:revision>1</cp:revision>
  <dcterms:created xsi:type="dcterms:W3CDTF">2013-12-23T23:15:00Z</dcterms:created>
  <dcterms:modified xsi:type="dcterms:W3CDTF">2013-12-23T23:15:00Z</dcterms:modified>
  <cp:category/>
</cp:coreProperties>
</file>