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0"/>
        <w:jc w:val="center"/>
      </w:pPr>
      <w:r>
        <w:rPr>
          <w:rFonts w:ascii="Arial" w:cs="Arial" w:eastAsia="Arial" w:hAnsi="Arial"/>
          <w:b/>
          <w:bCs/>
          <w:color w:val="666666"/>
          <w:sz w:val="22"/>
          <w:szCs w:val="22"/>
        </w:rPr>
        <w:t xml:space="preserve">POLITÉCNICO GRANCOLOMBIANO</w:t>
      </w:r>
    </w:p>
    <w:p>
      <w:pPr>
        <w:spacing w:after="0"/>
        <w:jc w:val="center"/>
      </w:pPr>
      <w:r>
        <w:rPr>
          <w:rFonts w:ascii="Arial" w:cs="Arial" w:eastAsia="Arial" w:hAnsi="Arial"/>
          <w:color w:val="888888"/>
          <w:sz w:val="20"/>
          <w:szCs w:val="20"/>
        </w:rPr>
        <w:t xml:space="preserve">Facultad de Ingeniería, Diseño e Innovación</w:t>
      </w:r>
    </w:p>
    <w:p>
      <w:pPr>
        <w:spacing w:after="600"/>
      </w:pPr>
    </w:p>
    <w:p>
      <w:pPr>
        <w:spacing w:after="80"/>
        <w:jc w:val="center"/>
      </w:pPr>
      <w:r>
        <w:rPr>
          <w:rFonts w:ascii="Arial" w:cs="Arial" w:eastAsia="Arial" w:hAnsi="Arial"/>
          <w:b/>
          <w:bCs/>
          <w:color w:val="0B7285"/>
          <w:sz w:val="64"/>
          <w:szCs w:val="64"/>
        </w:rPr>
        <w:t xml:space="preserve">VetSystem</w:t>
      </w:r>
    </w:p>
    <w:p>
      <w:pPr>
        <w:spacing w:after="600"/>
        <w:jc w:val="center"/>
      </w:pPr>
      <w:r>
        <w:rPr>
          <w:rFonts w:ascii="Arial" w:cs="Arial" w:eastAsia="Arial" w:hAnsi="Arial"/>
          <w:i/>
          <w:iCs/>
          <w:color w:val="444444"/>
          <w:sz w:val="30"/>
          <w:szCs w:val="30"/>
        </w:rPr>
        <w:t xml:space="preserve">Documento de Levantamiento de Requerimientos</w:t>
      </w:r>
    </w:p>
    <w:p>
      <w:pPr>
        <w:pBdr>
          <w:bottom w:val="single" w:color="0B7285" w:sz="12" w:space="1"/>
        </w:pBdr>
        <w:spacing w:after="600" w:before="0"/>
        <w:jc w:val="center"/>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single" w:color="DDDDDD" w:sz="1"/>
              <w:right w:val="none" w:color="FFFFFF" w:sz="0"/>
            </w:tcBorders>
            <w:tcMar>
              <w:top w:type="dxa" w:w="80"/>
              <w:left w:type="dxa" w:w="0"/>
              <w:bottom w:type="dxa" w:w="80"/>
              <w:right w:type="dxa" w:w="120"/>
            </w:tcMar>
          </w:tcPr>
          <w:p>
            <w:pPr>
              <w:jc w:val="right"/>
            </w:pPr>
            <w:r>
              <w:rPr>
                <w:rFonts w:ascii="Arial" w:cs="Arial" w:eastAsia="Arial" w:hAnsi="Arial"/>
                <w:b/>
                <w:bCs/>
                <w:color w:val="555555"/>
                <w:sz w:val="20"/>
                <w:szCs w:val="20"/>
              </w:rPr>
              <w:t xml:space="preserve">Documento</w:t>
            </w:r>
          </w:p>
        </w:tc>
        <w:tc>
          <w:tcPr>
            <w:tcW w:type="dxa" w:w="3600"/>
            <w:tcBorders>
              <w:top w:val="none" w:color="FFFFFF" w:sz="0"/>
              <w:left w:val="none" w:color="FFFFFF" w:sz="0"/>
              <w:bottom w:val="single" w:color="DDDDDD" w:sz="1"/>
              <w:right w:val="none" w:color="FFFFFF" w:sz="0"/>
            </w:tcBorders>
            <w:tcMar>
              <w:top w:type="dxa" w:w="80"/>
              <w:left w:type="dxa" w:w="120"/>
              <w:bottom w:type="dxa" w:w="80"/>
              <w:right w:type="dxa" w:w="0"/>
            </w:tcMar>
          </w:tcPr>
          <w:p>
            <w:r>
              <w:rPr>
                <w:rFonts w:ascii="Arial" w:cs="Arial" w:eastAsia="Arial" w:hAnsi="Arial"/>
                <w:color w:val="1F1F1F"/>
                <w:sz w:val="20"/>
                <w:szCs w:val="20"/>
              </w:rPr>
              <w:t xml:space="preserve">Levantamiento de Requerimientos (SRS)</w:t>
            </w:r>
          </w:p>
        </w:tc>
      </w:tr>
      <w:tr>
        <w:tc>
          <w:tcPr>
            <w:tcW w:type="dxa" w:w="2400"/>
            <w:tcBorders>
              <w:top w:val="none" w:color="FFFFFF" w:sz="0"/>
              <w:left w:val="none" w:color="FFFFFF" w:sz="0"/>
              <w:bottom w:val="single" w:color="DDDDDD" w:sz="1"/>
              <w:right w:val="none" w:color="FFFFFF" w:sz="0"/>
            </w:tcBorders>
            <w:tcMar>
              <w:top w:type="dxa" w:w="80"/>
              <w:left w:type="dxa" w:w="0"/>
              <w:bottom w:type="dxa" w:w="80"/>
              <w:right w:type="dxa" w:w="120"/>
            </w:tcMar>
          </w:tcPr>
          <w:p>
            <w:pPr>
              <w:jc w:val="right"/>
            </w:pPr>
            <w:r>
              <w:rPr>
                <w:rFonts w:ascii="Arial" w:cs="Arial" w:eastAsia="Arial" w:hAnsi="Arial"/>
                <w:b/>
                <w:bCs/>
                <w:color w:val="555555"/>
                <w:sz w:val="20"/>
                <w:szCs w:val="20"/>
              </w:rPr>
              <w:t xml:space="preserve">Versión</w:t>
            </w:r>
          </w:p>
        </w:tc>
        <w:tc>
          <w:tcPr>
            <w:tcW w:type="dxa" w:w="3600"/>
            <w:tcBorders>
              <w:top w:val="none" w:color="FFFFFF" w:sz="0"/>
              <w:left w:val="none" w:color="FFFFFF" w:sz="0"/>
              <w:bottom w:val="single" w:color="DDDDDD" w:sz="1"/>
              <w:right w:val="none" w:color="FFFFFF" w:sz="0"/>
            </w:tcBorders>
            <w:tcMar>
              <w:top w:type="dxa" w:w="80"/>
              <w:left w:type="dxa" w:w="120"/>
              <w:bottom w:type="dxa" w:w="80"/>
              <w:right w:type="dxa" w:w="0"/>
            </w:tcMar>
          </w:tcPr>
          <w:p>
            <w:r>
              <w:rPr>
                <w:rFonts w:ascii="Arial" w:cs="Arial" w:eastAsia="Arial" w:hAnsi="Arial"/>
                <w:color w:val="1F1F1F"/>
                <w:sz w:val="20"/>
                <w:szCs w:val="20"/>
              </w:rPr>
              <w:t xml:space="preserve">1.0</w:t>
            </w:r>
          </w:p>
        </w:tc>
      </w:tr>
      <w:tr>
        <w:tc>
          <w:tcPr>
            <w:tcW w:type="dxa" w:w="2400"/>
            <w:tcBorders>
              <w:top w:val="none" w:color="FFFFFF" w:sz="0"/>
              <w:left w:val="none" w:color="FFFFFF" w:sz="0"/>
              <w:bottom w:val="single" w:color="DDDDDD" w:sz="1"/>
              <w:right w:val="none" w:color="FFFFFF" w:sz="0"/>
            </w:tcBorders>
            <w:tcMar>
              <w:top w:type="dxa" w:w="80"/>
              <w:left w:type="dxa" w:w="0"/>
              <w:bottom w:type="dxa" w:w="80"/>
              <w:right w:type="dxa" w:w="120"/>
            </w:tcMar>
          </w:tcPr>
          <w:p>
            <w:pPr>
              <w:jc w:val="right"/>
            </w:pPr>
            <w:r>
              <w:rPr>
                <w:rFonts w:ascii="Arial" w:cs="Arial" w:eastAsia="Arial" w:hAnsi="Arial"/>
                <w:b/>
                <w:bCs/>
                <w:color w:val="555555"/>
                <w:sz w:val="20"/>
                <w:szCs w:val="20"/>
              </w:rPr>
              <w:t xml:space="preserve">Fecha</w:t>
            </w:r>
          </w:p>
        </w:tc>
        <w:tc>
          <w:tcPr>
            <w:tcW w:type="dxa" w:w="3600"/>
            <w:tcBorders>
              <w:top w:val="none" w:color="FFFFFF" w:sz="0"/>
              <w:left w:val="none" w:color="FFFFFF" w:sz="0"/>
              <w:bottom w:val="single" w:color="DDDDDD" w:sz="1"/>
              <w:right w:val="none" w:color="FFFFFF" w:sz="0"/>
            </w:tcBorders>
            <w:tcMar>
              <w:top w:type="dxa" w:w="80"/>
              <w:left w:type="dxa" w:w="120"/>
              <w:bottom w:type="dxa" w:w="80"/>
              <w:right w:type="dxa" w:w="0"/>
            </w:tcMar>
          </w:tcPr>
          <w:p>
            <w:r>
              <w:rPr>
                <w:rFonts w:ascii="Arial" w:cs="Arial" w:eastAsia="Arial" w:hAnsi="Arial"/>
                <w:color w:val="1F1F1F"/>
                <w:sz w:val="20"/>
                <w:szCs w:val="20"/>
              </w:rPr>
              <w:t xml:space="preserve">Junio 2026</w:t>
            </w:r>
          </w:p>
        </w:tc>
      </w:tr>
      <w:tr>
        <w:tc>
          <w:tcPr>
            <w:tcW w:type="dxa" w:w="2400"/>
            <w:tcBorders>
              <w:top w:val="none" w:color="FFFFFF" w:sz="0"/>
              <w:left w:val="none" w:color="FFFFFF" w:sz="0"/>
              <w:bottom w:val="single" w:color="DDDDDD" w:sz="1"/>
              <w:right w:val="none" w:color="FFFFFF" w:sz="0"/>
            </w:tcBorders>
            <w:tcMar>
              <w:top w:type="dxa" w:w="80"/>
              <w:left w:type="dxa" w:w="0"/>
              <w:bottom w:type="dxa" w:w="80"/>
              <w:right w:type="dxa" w:w="120"/>
            </w:tcMar>
          </w:tcPr>
          <w:p>
            <w:pPr>
              <w:jc w:val="right"/>
            </w:pPr>
            <w:r>
              <w:rPr>
                <w:rFonts w:ascii="Arial" w:cs="Arial" w:eastAsia="Arial" w:hAnsi="Arial"/>
                <w:b/>
                <w:bCs/>
                <w:color w:val="555555"/>
                <w:sz w:val="20"/>
                <w:szCs w:val="20"/>
              </w:rPr>
              <w:t xml:space="preserve">Autor</w:t>
            </w:r>
          </w:p>
        </w:tc>
        <w:tc>
          <w:tcPr>
            <w:tcW w:type="dxa" w:w="3600"/>
            <w:tcBorders>
              <w:top w:val="none" w:color="FFFFFF" w:sz="0"/>
              <w:left w:val="none" w:color="FFFFFF" w:sz="0"/>
              <w:bottom w:val="single" w:color="DDDDDD" w:sz="1"/>
              <w:right w:val="none" w:color="FFFFFF" w:sz="0"/>
            </w:tcBorders>
            <w:tcMar>
              <w:top w:type="dxa" w:w="80"/>
              <w:left w:type="dxa" w:w="120"/>
              <w:bottom w:type="dxa" w:w="80"/>
              <w:right w:type="dxa" w:w="0"/>
            </w:tcMar>
          </w:tcPr>
          <w:p>
            <w:r>
              <w:rPr>
                <w:rFonts w:ascii="Arial" w:cs="Arial" w:eastAsia="Arial" w:hAnsi="Arial"/>
                <w:color w:val="1F1F1F"/>
                <w:sz w:val="20"/>
                <w:szCs w:val="20"/>
              </w:rPr>
              <w:t xml:space="preserve">Oscar Duván Álvarez Caro</w:t>
            </w:r>
          </w:p>
        </w:tc>
      </w:tr>
      <w:tr>
        <w:tc>
          <w:tcPr>
            <w:tcW w:type="dxa" w:w="2400"/>
            <w:tcBorders>
              <w:top w:val="none" w:color="FFFFFF" w:sz="0"/>
              <w:left w:val="none" w:color="FFFFFF" w:sz="0"/>
              <w:bottom w:val="single" w:color="DDDDDD" w:sz="1"/>
              <w:right w:val="none" w:color="FFFFFF" w:sz="0"/>
            </w:tcBorders>
            <w:tcMar>
              <w:top w:type="dxa" w:w="80"/>
              <w:left w:type="dxa" w:w="0"/>
              <w:bottom w:type="dxa" w:w="80"/>
              <w:right w:type="dxa" w:w="120"/>
            </w:tcMar>
          </w:tcPr>
          <w:p>
            <w:pPr>
              <w:jc w:val="right"/>
            </w:pPr>
            <w:r>
              <w:rPr>
                <w:rFonts w:ascii="Arial" w:cs="Arial" w:eastAsia="Arial" w:hAnsi="Arial"/>
                <w:b/>
                <w:bCs/>
                <w:color w:val="555555"/>
                <w:sz w:val="20"/>
                <w:szCs w:val="20"/>
              </w:rPr>
              <w:t xml:space="preserve">Institución</w:t>
            </w:r>
          </w:p>
        </w:tc>
        <w:tc>
          <w:tcPr>
            <w:tcW w:type="dxa" w:w="3600"/>
            <w:tcBorders>
              <w:top w:val="none" w:color="FFFFFF" w:sz="0"/>
              <w:left w:val="none" w:color="FFFFFF" w:sz="0"/>
              <w:bottom w:val="single" w:color="DDDDDD" w:sz="1"/>
              <w:right w:val="none" w:color="FFFFFF" w:sz="0"/>
            </w:tcBorders>
            <w:tcMar>
              <w:top w:type="dxa" w:w="80"/>
              <w:left w:type="dxa" w:w="120"/>
              <w:bottom w:type="dxa" w:w="80"/>
              <w:right w:type="dxa" w:w="0"/>
            </w:tcMar>
          </w:tcPr>
          <w:p>
            <w:r>
              <w:rPr>
                <w:rFonts w:ascii="Arial" w:cs="Arial" w:eastAsia="Arial" w:hAnsi="Arial"/>
                <w:color w:val="1F1F1F"/>
                <w:sz w:val="20"/>
                <w:szCs w:val="20"/>
              </w:rPr>
              <w:t xml:space="preserve">Politécnico Grancolombiano</w:t>
            </w:r>
          </w:p>
        </w:tc>
      </w:tr>
      <w:tr>
        <w:tc>
          <w:tcPr>
            <w:tcW w:type="dxa" w:w="2400"/>
            <w:tcBorders>
              <w:top w:val="none" w:color="FFFFFF" w:sz="0"/>
              <w:left w:val="none" w:color="FFFFFF" w:sz="0"/>
              <w:bottom w:val="single" w:color="DDDDDD" w:sz="1"/>
              <w:right w:val="none" w:color="FFFFFF" w:sz="0"/>
            </w:tcBorders>
            <w:tcMar>
              <w:top w:type="dxa" w:w="80"/>
              <w:left w:type="dxa" w:w="0"/>
              <w:bottom w:type="dxa" w:w="80"/>
              <w:right w:type="dxa" w:w="120"/>
            </w:tcMar>
          </w:tcPr>
          <w:p>
            <w:pPr>
              <w:jc w:val="right"/>
            </w:pPr>
            <w:r>
              <w:rPr>
                <w:rFonts w:ascii="Arial" w:cs="Arial" w:eastAsia="Arial" w:hAnsi="Arial"/>
                <w:b/>
                <w:bCs/>
                <w:color w:val="555555"/>
                <w:sz w:val="20"/>
                <w:szCs w:val="20"/>
              </w:rPr>
              <w:t xml:space="preserve">Estado</w:t>
            </w:r>
          </w:p>
        </w:tc>
        <w:tc>
          <w:tcPr>
            <w:tcW w:type="dxa" w:w="3600"/>
            <w:tcBorders>
              <w:top w:val="none" w:color="FFFFFF" w:sz="0"/>
              <w:left w:val="none" w:color="FFFFFF" w:sz="0"/>
              <w:bottom w:val="single" w:color="DDDDDD" w:sz="1"/>
              <w:right w:val="none" w:color="FFFFFF" w:sz="0"/>
            </w:tcBorders>
            <w:tcMar>
              <w:top w:type="dxa" w:w="80"/>
              <w:left w:type="dxa" w:w="120"/>
              <w:bottom w:type="dxa" w:w="80"/>
              <w:right w:type="dxa" w:w="0"/>
            </w:tcMar>
          </w:tcPr>
          <w:p>
            <w:r>
              <w:rPr>
                <w:rFonts w:ascii="Arial" w:cs="Arial" w:eastAsia="Arial" w:hAnsi="Arial"/>
                <w:color w:val="1F1F1F"/>
                <w:sz w:val="20"/>
                <w:szCs w:val="20"/>
              </w:rPr>
              <w:t xml:space="preserve">Versión final — Fase 6 (Pruebas y documentación)</w:t>
            </w:r>
          </w:p>
        </w:tc>
      </w:tr>
    </w:tbl>
    <w:p>
      <w:r>
        <w:br w:type="page"/>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FFFFFF"/>
          <w:sz w:val="32"/>
          <w:szCs w:val="32"/>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FFFFFF"/>
          <w:sz w:val="32"/>
          <w:szCs w:val="32"/>
        </w:rPr>
        <w:t xml:space="preserve">1. Introducción y propósito</w:t>
      </w:r>
    </w:p>
    <w:p>
      <w:pPr>
        <w:spacing w:after="120" w:before="0"/>
      </w:pPr>
      <w:r>
        <w:rPr>
          <w:rFonts w:ascii="Arial" w:cs="Arial" w:eastAsia="Arial" w:hAnsi="Arial"/>
          <w:color w:val="1F1F1F"/>
          <w:sz w:val="22"/>
          <w:szCs w:val="22"/>
        </w:rPr>
        <w:t xml:space="preserve">Este documento describe los requerimientos del sistema VetSystem, una plataforma de gestión clínica veterinaria desarrollada como proyecto de grado en el Politécnico Grancolombiano. Su propósito es registrar de manera formal las necesidades identificadas para el software, establecer el alcance funcional del sistema y servir como guía de validación durante el desarrollo y las pruebas.</w:t>
      </w:r>
    </w:p>
    <w:p>
      <w:pPr>
        <w:pStyle w:val="Heading2"/>
      </w:pPr>
      <w:r>
        <w:rPr>
          <w:rFonts w:ascii="Arial" w:cs="Arial" w:eastAsia="Arial" w:hAnsi="Arial"/>
          <w:b/>
          <w:bCs/>
          <w:color w:val="0B7285"/>
          <w:sz w:val="26"/>
          <w:szCs w:val="26"/>
        </w:rPr>
        <w:t xml:space="preserve">1.1 Problema identificado</w:t>
      </w:r>
    </w:p>
    <w:p>
      <w:pPr>
        <w:spacing w:after="120" w:before="0"/>
      </w:pPr>
      <w:r>
        <w:rPr>
          <w:rFonts w:ascii="Arial" w:cs="Arial" w:eastAsia="Arial" w:hAnsi="Arial"/>
          <w:color w:val="1F1F1F"/>
          <w:sz w:val="22"/>
          <w:szCs w:val="22"/>
        </w:rPr>
        <w:t xml:space="preserve">Las clínicas veterinarias pequeñas y medianas de Colombia operan frecuentemente con procesos manuales: agendas en papel, historiales clínicos físicos y comunicación telefónica para recordar citas. Esta situación genera los siguientes problemas:</w:t>
      </w:r>
    </w:p>
    <w:p>
      <w:pPr>
        <w:pStyle w:val="ListParagraph"/>
        <w:numPr>
          <w:ilvl w:val="0"/>
          <w:numId w:val="2"/>
        </w:numPr>
        <w:spacing w:after="60"/>
      </w:pPr>
      <w:r>
        <w:rPr>
          <w:rFonts w:ascii="Arial" w:cs="Arial" w:eastAsia="Arial" w:hAnsi="Arial"/>
          <w:color w:val="1F1F1F"/>
          <w:sz w:val="22"/>
          <w:szCs w:val="22"/>
        </w:rPr>
        <w:t xml:space="preserve">Pérdida de información clínica del paciente al no existir un repositorio centralizado ni un sistema de respaldo.</w:t>
      </w:r>
    </w:p>
    <w:p>
      <w:pPr>
        <w:pStyle w:val="ListParagraph"/>
        <w:numPr>
          <w:ilvl w:val="0"/>
          <w:numId w:val="2"/>
        </w:numPr>
        <w:spacing w:after="60"/>
      </w:pPr>
      <w:r>
        <w:rPr>
          <w:rFonts w:ascii="Arial" w:cs="Arial" w:eastAsia="Arial" w:hAnsi="Arial"/>
          <w:color w:val="1F1F1F"/>
          <w:sz w:val="22"/>
          <w:szCs w:val="22"/>
        </w:rPr>
        <w:t xml:space="preserve">Alta tasa de inasistencia a citas por falta de recordatorios automáticos y oportunos al propietario.</w:t>
      </w:r>
    </w:p>
    <w:p>
      <w:pPr>
        <w:pStyle w:val="ListParagraph"/>
        <w:numPr>
          <w:ilvl w:val="0"/>
          <w:numId w:val="2"/>
        </w:numPr>
        <w:spacing w:after="60"/>
      </w:pPr>
      <w:r>
        <w:rPr>
          <w:rFonts w:ascii="Arial" w:cs="Arial" w:eastAsia="Arial" w:hAnsi="Arial"/>
          <w:color w:val="1F1F1F"/>
          <w:sz w:val="22"/>
          <w:szCs w:val="22"/>
        </w:rPr>
        <w:t xml:space="preserve">Dificultad para llevar un control riguroso del esquema de vacunación de cada mascota, lo que puede comprometer la salud animal.</w:t>
      </w:r>
    </w:p>
    <w:p>
      <w:pPr>
        <w:pStyle w:val="ListParagraph"/>
        <w:numPr>
          <w:ilvl w:val="0"/>
          <w:numId w:val="2"/>
        </w:numPr>
        <w:spacing w:after="60"/>
      </w:pPr>
      <w:r>
        <w:rPr>
          <w:rFonts w:ascii="Arial" w:cs="Arial" w:eastAsia="Arial" w:hAnsi="Arial"/>
          <w:color w:val="1F1F1F"/>
          <w:sz w:val="22"/>
          <w:szCs w:val="22"/>
        </w:rPr>
        <w:t xml:space="preserve">Dependencia de una sola persona para conocer la disponibilidad de los veterinarios, generando cuellos de botella en la operación.</w:t>
      </w:r>
    </w:p>
    <w:p>
      <w:pPr>
        <w:pStyle w:val="ListParagraph"/>
        <w:numPr>
          <w:ilvl w:val="0"/>
          <w:numId w:val="2"/>
        </w:numPr>
        <w:spacing w:after="60"/>
      </w:pPr>
      <w:r>
        <w:rPr>
          <w:rFonts w:ascii="Arial" w:cs="Arial" w:eastAsia="Arial" w:hAnsi="Arial"/>
          <w:color w:val="1F1F1F"/>
          <w:sz w:val="22"/>
          <w:szCs w:val="22"/>
        </w:rPr>
        <w:t xml:space="preserve">Ausencia de trazabilidad: no es posible reconstruir el historial clínico completo de un paciente a lo largo del tiempo.</w:t>
      </w:r>
    </w:p>
    <w:p>
      <w:pPr>
        <w:pStyle w:val="Heading2"/>
      </w:pPr>
      <w:r>
        <w:rPr>
          <w:rFonts w:ascii="Arial" w:cs="Arial" w:eastAsia="Arial" w:hAnsi="Arial"/>
          <w:b/>
          <w:bCs/>
          <w:color w:val="0B7285"/>
          <w:sz w:val="26"/>
          <w:szCs w:val="26"/>
        </w:rPr>
        <w:t xml:space="preserve">1.2 Alcance del proyecto</w:t>
      </w:r>
    </w:p>
    <w:p>
      <w:pPr>
        <w:spacing w:after="120" w:before="0"/>
      </w:pPr>
      <w:r>
        <w:rPr>
          <w:rFonts w:ascii="Arial" w:cs="Arial" w:eastAsia="Arial" w:hAnsi="Arial"/>
          <w:color w:val="1F1F1F"/>
          <w:sz w:val="22"/>
          <w:szCs w:val="22"/>
        </w:rPr>
        <w:t xml:space="preserve">El sistema cubre los siguientes módulos funcionales:</w:t>
      </w:r>
    </w:p>
    <w:p>
      <w:pPr>
        <w:pStyle w:val="ListParagraph"/>
        <w:numPr>
          <w:ilvl w:val="0"/>
          <w:numId w:val="2"/>
        </w:numPr>
        <w:spacing w:after="60"/>
      </w:pPr>
      <w:r>
        <w:rPr>
          <w:rFonts w:ascii="Arial" w:cs="Arial" w:eastAsia="Arial" w:hAnsi="Arial"/>
          <w:color w:val="1F1F1F"/>
          <w:sz w:val="22"/>
          <w:szCs w:val="22"/>
        </w:rPr>
        <w:t xml:space="preserve">Gestión de usuarios y control de acceso por roles.</w:t>
      </w:r>
    </w:p>
    <w:p>
      <w:pPr>
        <w:pStyle w:val="ListParagraph"/>
        <w:numPr>
          <w:ilvl w:val="0"/>
          <w:numId w:val="2"/>
        </w:numPr>
        <w:spacing w:after="60"/>
      </w:pPr>
      <w:r>
        <w:rPr>
          <w:rFonts w:ascii="Arial" w:cs="Arial" w:eastAsia="Arial" w:hAnsi="Arial"/>
          <w:color w:val="1F1F1F"/>
          <w:sz w:val="22"/>
          <w:szCs w:val="22"/>
        </w:rPr>
        <w:t xml:space="preserve">Registro y administración de pacientes (mascotas) y sus propietarios.</w:t>
      </w:r>
    </w:p>
    <w:p>
      <w:pPr>
        <w:pStyle w:val="ListParagraph"/>
        <w:numPr>
          <w:ilvl w:val="0"/>
          <w:numId w:val="2"/>
        </w:numPr>
        <w:spacing w:after="60"/>
      </w:pPr>
      <w:r>
        <w:rPr>
          <w:rFonts w:ascii="Arial" w:cs="Arial" w:eastAsia="Arial" w:hAnsi="Arial"/>
          <w:color w:val="1F1F1F"/>
          <w:sz w:val="22"/>
          <w:szCs w:val="22"/>
        </w:rPr>
        <w:t xml:space="preserve">Historia clínica (bitácoras de consulta y registros clínicos formales).</w:t>
      </w:r>
    </w:p>
    <w:p>
      <w:pPr>
        <w:pStyle w:val="ListParagraph"/>
        <w:numPr>
          <w:ilvl w:val="0"/>
          <w:numId w:val="2"/>
        </w:numPr>
        <w:spacing w:after="60"/>
      </w:pPr>
      <w:r>
        <w:rPr>
          <w:rFonts w:ascii="Arial" w:cs="Arial" w:eastAsia="Arial" w:hAnsi="Arial"/>
          <w:color w:val="1F1F1F"/>
          <w:sz w:val="22"/>
          <w:szCs w:val="22"/>
        </w:rPr>
        <w:t xml:space="preserve">Agendamiento de citas con cálculo de disponibilidad en tiempo real.</w:t>
      </w:r>
    </w:p>
    <w:p>
      <w:pPr>
        <w:pStyle w:val="ListParagraph"/>
        <w:numPr>
          <w:ilvl w:val="0"/>
          <w:numId w:val="2"/>
        </w:numPr>
        <w:spacing w:after="60"/>
      </w:pPr>
      <w:r>
        <w:rPr>
          <w:rFonts w:ascii="Arial" w:cs="Arial" w:eastAsia="Arial" w:hAnsi="Arial"/>
          <w:color w:val="1F1F1F"/>
          <w:sz w:val="22"/>
          <w:szCs w:val="22"/>
        </w:rPr>
        <w:t xml:space="preserve">Configuración de horarios de atención y ausencias de veterinarios.</w:t>
      </w:r>
    </w:p>
    <w:p>
      <w:pPr>
        <w:pStyle w:val="ListParagraph"/>
        <w:numPr>
          <w:ilvl w:val="0"/>
          <w:numId w:val="2"/>
        </w:numPr>
        <w:spacing w:after="60"/>
      </w:pPr>
      <w:r>
        <w:rPr>
          <w:rFonts w:ascii="Arial" w:cs="Arial" w:eastAsia="Arial" w:hAnsi="Arial"/>
          <w:color w:val="1F1F1F"/>
          <w:sz w:val="22"/>
          <w:szCs w:val="22"/>
        </w:rPr>
        <w:t xml:space="preserve">Control de vacunación con esquemas personalizables.</w:t>
      </w:r>
    </w:p>
    <w:p>
      <w:pPr>
        <w:pStyle w:val="ListParagraph"/>
        <w:numPr>
          <w:ilvl w:val="0"/>
          <w:numId w:val="2"/>
        </w:numPr>
        <w:spacing w:after="60"/>
      </w:pPr>
      <w:r>
        <w:rPr>
          <w:rFonts w:ascii="Arial" w:cs="Arial" w:eastAsia="Arial" w:hAnsi="Arial"/>
          <w:color w:val="1F1F1F"/>
          <w:sz w:val="22"/>
          <w:szCs w:val="22"/>
        </w:rPr>
        <w:t xml:space="preserve">Notificaciones automáticas por WhatsApp y correo electrónico.</w:t>
      </w:r>
    </w:p>
    <w:p>
      <w:pPr>
        <w:spacing w:after="80"/>
      </w:pPr>
    </w:p>
    <w:p>
      <w:pPr>
        <w:spacing w:after="160"/>
      </w:pPr>
      <w:r>
        <w:rPr>
          <w:rFonts w:ascii="Arial" w:cs="Arial" w:eastAsia="Arial" w:hAnsi="Arial"/>
          <w:b/>
          <w:bCs/>
          <w:color w:val="1F1F1F"/>
          <w:sz w:val="22"/>
          <w:szCs w:val="22"/>
        </w:rPr>
        <w:t xml:space="preserve">Fuera del alcance: </w:t>
      </w:r>
      <w:r>
        <w:rPr>
          <w:rFonts w:ascii="Arial" w:cs="Arial" w:eastAsia="Arial" w:hAnsi="Arial"/>
          <w:color w:val="1F1F1F"/>
          <w:sz w:val="22"/>
          <w:szCs w:val="22"/>
        </w:rPr>
        <w:t xml:space="preserve">módulos de facturación, inventario de medicamentos, telemedicina y gestión contable.</w:t>
      </w:r>
    </w:p>
    <w:p>
      <w:pPr>
        <w:pStyle w:val="Heading1"/>
      </w:pPr>
      <w:r>
        <w:rPr>
          <w:rFonts w:ascii="Arial" w:cs="Arial" w:eastAsia="Arial" w:hAnsi="Arial"/>
          <w:b/>
          <w:bCs/>
          <w:color w:val="FFFFFF"/>
          <w:sz w:val="32"/>
          <w:szCs w:val="32"/>
        </w:rPr>
        <w:t xml:space="preserve">2. Identificación de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826"/>
        <w:gridCol w:w="1600"/>
      </w:tblGrid>
      <w:tr>
        <w:trPr>
          <w:tblHeader/>
        </w:trPr>
        <w:tc>
          <w:tcPr>
            <w:tcW w:type="dxa" w:w="2000"/>
            <w:tcBorders>
              <w:top w:val="single" w:color="BBBBBB" w:sz="1"/>
              <w:left w:val="single" w:color="BBBBBB" w:sz="1"/>
              <w:bottom w:val="single" w:color="BBBBBB" w:sz="1"/>
              <w:right w:val="single" w:color="BBBBBB" w:sz="1"/>
            </w:tcBorders>
            <w:shd w:fill="0B7285"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Stakeholder</w:t>
            </w:r>
          </w:p>
        </w:tc>
        <w:tc>
          <w:tcPr>
            <w:tcW w:type="dxa" w:w="1600"/>
            <w:tcBorders>
              <w:top w:val="single" w:color="BBBBBB" w:sz="1"/>
              <w:left w:val="single" w:color="BBBBBB" w:sz="1"/>
              <w:bottom w:val="single" w:color="BBBBBB" w:sz="1"/>
              <w:right w:val="single" w:color="BBBBBB" w:sz="1"/>
            </w:tcBorders>
            <w:shd w:fill="0B7285"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w:t>
            </w:r>
          </w:p>
        </w:tc>
        <w:tc>
          <w:tcPr>
            <w:tcW w:type="dxa" w:w="3826"/>
            <w:tcBorders>
              <w:top w:val="single" w:color="BBBBBB" w:sz="1"/>
              <w:left w:val="single" w:color="BBBBBB" w:sz="1"/>
              <w:bottom w:val="single" w:color="BBBBBB" w:sz="1"/>
              <w:right w:val="single" w:color="BBBBBB" w:sz="1"/>
            </w:tcBorders>
            <w:shd w:fill="0B7285" w:val="clear"/>
            <w:tcMar>
              <w:top w:type="dxa" w:w="100"/>
              <w:left w:type="dxa" w:w="140"/>
              <w:bottom w:type="dxa" w:w="100"/>
              <w:right w:type="dxa" w:w="140"/>
            </w:tcMar>
            <w:vAlign w:val="center"/>
          </w:tcPr>
          <w:p>
            <w:r>
              <w:rPr>
                <w:rFonts w:ascii="Arial" w:cs="Arial" w:eastAsia="Arial" w:hAnsi="Arial"/>
                <w:b/>
                <w:bCs/>
                <w:color w:val="FFFFFF"/>
                <w:sz w:val="20"/>
                <w:szCs w:val="20"/>
              </w:rPr>
              <w:t xml:space="preserve">Interés principal</w:t>
            </w:r>
          </w:p>
        </w:tc>
        <w:tc>
          <w:tcPr>
            <w:tcW w:type="dxa" w:w="1600"/>
            <w:tcBorders>
              <w:top w:val="single" w:color="BBBBBB" w:sz="1"/>
              <w:left w:val="single" w:color="BBBBBB" w:sz="1"/>
              <w:bottom w:val="single" w:color="BBBBBB" w:sz="1"/>
              <w:right w:val="single" w:color="BBBBBB" w:sz="1"/>
            </w:tcBorders>
            <w:shd w:fill="0B7285"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Impacto</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Administrador de la clínica</w:t>
            </w:r>
          </w:p>
        </w:tc>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Admin</w:t>
            </w:r>
          </w:p>
        </w:tc>
        <w:tc>
          <w:tcPr>
            <w:tcW w:type="dxa" w:w="38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Gestionar usuarios, horarios globales, catálogos de especies y vacunas, y tener visibilidad completa del sistema.</w:t>
            </w:r>
          </w:p>
        </w:tc>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Alto</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Veterinario</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Veterinarian</w:t>
            </w:r>
          </w:p>
        </w:tc>
        <w:tc>
          <w:tcPr>
            <w:tcW w:type="dxa" w:w="3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Consultar y registrar historia clínica, gestionar citas propias, registrar vacunas aplicadas y personalizar su horario de atención.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Alto</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Propietario de mascota</w:t>
            </w:r>
          </w:p>
        </w:tc>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Owner</w:t>
            </w:r>
          </w:p>
        </w:tc>
        <w:tc>
          <w:tcPr>
            <w:tcW w:type="dxa" w:w="38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Consultar información de sus mascotas, revisar el historial clínico y agendar citas de forma autónoma.</w:t>
            </w:r>
          </w:p>
        </w:tc>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Alto</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Clínica veterinaria</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Organización</w:t>
            </w:r>
          </w:p>
        </w:tc>
        <w:tc>
          <w:tcPr>
            <w:tcW w:type="dxa" w:w="3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Reducir inasistencias, centralizar la información clínica y mejorar la comunicación con los propietarios.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Alto</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Evaluador académico</w:t>
            </w:r>
          </w:p>
        </w:tc>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Entidad evaluadora</w:t>
            </w:r>
          </w:p>
        </w:tc>
        <w:tc>
          <w:tcPr>
            <w:tcW w:type="dxa" w:w="38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Verificar que el sistema cumple los criterios de calidad, arquitectura y cobertura de pruebas exigidos por el proyecto de grado.</w:t>
            </w:r>
          </w:p>
        </w:tc>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Medio</w:t>
            </w:r>
          </w:p>
        </w:tc>
      </w:tr>
    </w:tbl>
    <w:p>
      <w:pPr>
        <w:pStyle w:val="Heading1"/>
      </w:pPr>
      <w:r>
        <w:rPr>
          <w:rFonts w:ascii="Arial" w:cs="Arial" w:eastAsia="Arial" w:hAnsi="Arial"/>
          <w:b/>
          <w:bCs/>
          <w:color w:val="FFFFFF"/>
          <w:sz w:val="32"/>
          <w:szCs w:val="32"/>
        </w:rPr>
        <w:t xml:space="preserve">3. Descripción general del sistema</w:t>
      </w:r>
    </w:p>
    <w:p>
      <w:pPr>
        <w:spacing w:after="120" w:before="0"/>
      </w:pPr>
      <w:r>
        <w:rPr>
          <w:rFonts w:ascii="Arial" w:cs="Arial" w:eastAsia="Arial" w:hAnsi="Arial"/>
          <w:color w:val="1F1F1F"/>
          <w:sz w:val="22"/>
          <w:szCs w:val="22"/>
        </w:rPr>
        <w:t xml:space="preserve">VetSystem es una aplicación web de arquitectura cliente-servidor. El frontend es una SPA (Single Page Application) desarrollada en Blazor WebAssembly. El backend está compuesto por cuatro microservicios independientes implementados en ASP.NET Core (.NET 9), cada uno con su propia base de datos SQL Server, lo que garantiza el aislamiento de datos entre dominios. La autenticación se gestiona mediante JWT almacenado en cookie httpOnly. Las notificaciones se envían por WhatsApp (Evolution API) y correo electrónico (SMTP).</w:t>
      </w:r>
    </w:p>
    <w:p>
      <w:pPr>
        <w:pStyle w:val="Heading2"/>
      </w:pPr>
      <w:r>
        <w:rPr>
          <w:rFonts w:ascii="Arial" w:cs="Arial" w:eastAsia="Arial" w:hAnsi="Arial"/>
          <w:b/>
          <w:bCs/>
          <w:color w:val="0B7285"/>
          <w:sz w:val="26"/>
          <w:szCs w:val="26"/>
        </w:rPr>
        <w:t xml:space="preserve">3.1 Roles y accesos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tblHeader/>
        </w:trPr>
        <w:tc>
          <w:tcPr>
            <w:tcW w:type="dxa" w:w="3626"/>
            <w:tcBorders>
              <w:top w:val="single" w:color="BBBBBB" w:sz="1"/>
              <w:left w:val="single" w:color="BBBBBB" w:sz="1"/>
              <w:bottom w:val="single" w:color="BBBBBB" w:sz="1"/>
              <w:right w:val="single" w:color="BBBBBB" w:sz="1"/>
            </w:tcBorders>
            <w:shd w:fill="0B7285" w:val="clear"/>
            <w:tcMar>
              <w:top w:type="dxa" w:w="100"/>
              <w:left w:type="dxa" w:w="140"/>
              <w:bottom w:type="dxa" w:w="100"/>
              <w:right w:type="dxa" w:w="140"/>
            </w:tcMar>
            <w:vAlign w:val="center"/>
          </w:tcPr>
          <w:p>
            <w:r>
              <w:rPr>
                <w:rFonts w:ascii="Arial" w:cs="Arial" w:eastAsia="Arial" w:hAnsi="Arial"/>
                <w:b/>
                <w:bCs/>
                <w:color w:val="FFFFFF"/>
                <w:sz w:val="20"/>
                <w:szCs w:val="20"/>
              </w:rPr>
              <w:t xml:space="preserve">Capacidad</w:t>
            </w:r>
          </w:p>
        </w:tc>
        <w:tc>
          <w:tcPr>
            <w:tcW w:type="dxa" w:w="1800"/>
            <w:tcBorders>
              <w:top w:val="single" w:color="BBBBBB" w:sz="1"/>
              <w:left w:val="single" w:color="BBBBBB" w:sz="1"/>
              <w:bottom w:val="single" w:color="BBBBBB" w:sz="1"/>
              <w:right w:val="single" w:color="BBBBBB" w:sz="1"/>
            </w:tcBorders>
            <w:shd w:fill="0B7285" w:val="clear"/>
            <w:tcMar>
              <w:top w:type="dxa" w:w="100"/>
              <w:left w:type="dxa" w:w="140"/>
              <w:bottom w:type="dxa" w:w="100"/>
              <w:right w:type="dxa" w:w="140"/>
            </w:tcMar>
            <w:vAlign w:val="center"/>
          </w:tcPr>
          <w:p>
            <w:r>
              <w:rPr>
                <w:rFonts w:ascii="Arial" w:cs="Arial" w:eastAsia="Arial" w:hAnsi="Arial"/>
                <w:b/>
                <w:bCs/>
                <w:color w:val="FFFFFF"/>
                <w:sz w:val="20"/>
                <w:szCs w:val="20"/>
              </w:rPr>
              <w:t xml:space="preserve">Admin</w:t>
            </w:r>
          </w:p>
        </w:tc>
        <w:tc>
          <w:tcPr>
            <w:tcW w:type="dxa" w:w="1800"/>
            <w:tcBorders>
              <w:top w:val="single" w:color="BBBBBB" w:sz="1"/>
              <w:left w:val="single" w:color="BBBBBB" w:sz="1"/>
              <w:bottom w:val="single" w:color="BBBBBB" w:sz="1"/>
              <w:right w:val="single" w:color="BBBBBB" w:sz="1"/>
            </w:tcBorders>
            <w:shd w:fill="0B7285" w:val="clear"/>
            <w:tcMar>
              <w:top w:type="dxa" w:w="100"/>
              <w:left w:type="dxa" w:w="140"/>
              <w:bottom w:type="dxa" w:w="100"/>
              <w:right w:type="dxa" w:w="140"/>
            </w:tcMar>
            <w:vAlign w:val="center"/>
          </w:tcPr>
          <w:p>
            <w:r>
              <w:rPr>
                <w:rFonts w:ascii="Arial" w:cs="Arial" w:eastAsia="Arial" w:hAnsi="Arial"/>
                <w:b/>
                <w:bCs/>
                <w:color w:val="FFFFFF"/>
                <w:sz w:val="20"/>
                <w:szCs w:val="20"/>
              </w:rPr>
              <w:t xml:space="preserve">Veterinario</w:t>
            </w:r>
          </w:p>
        </w:tc>
        <w:tc>
          <w:tcPr>
            <w:tcW w:type="dxa" w:w="1800"/>
            <w:tcBorders>
              <w:top w:val="single" w:color="BBBBBB" w:sz="1"/>
              <w:left w:val="single" w:color="BBBBBB" w:sz="1"/>
              <w:bottom w:val="single" w:color="BBBBBB" w:sz="1"/>
              <w:right w:val="single" w:color="BBBBBB" w:sz="1"/>
            </w:tcBorders>
            <w:shd w:fill="0B7285"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Propietario</w:t>
            </w:r>
          </w:p>
        </w:tc>
      </w:tr>
      <w:tr>
        <w:tc>
          <w:tcPr>
            <w:tcW w:type="dxa" w:w="36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Gestionar usuarios del sistema</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Sí</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No</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No</w:t>
            </w:r>
          </w:p>
        </w:tc>
      </w:tr>
      <w:tr>
        <w:tc>
          <w:tcPr>
            <w:tcW w:type="dxa" w:w="3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Ver todos los pacientes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Sí</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Sí</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Solo los propios</w:t>
            </w:r>
          </w:p>
        </w:tc>
      </w:tr>
      <w:tr>
        <w:tc>
          <w:tcPr>
            <w:tcW w:type="dxa" w:w="36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Crear y editar pacientes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Sí</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Sí</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No</w:t>
            </w:r>
          </w:p>
        </w:tc>
      </w:tr>
      <w:tr>
        <w:tc>
          <w:tcPr>
            <w:tcW w:type="dxa" w:w="3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Acceder a historia clínica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Sí</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Sí (lect./escrit.)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Solo lectura propia</w:t>
            </w:r>
          </w:p>
        </w:tc>
      </w:tr>
      <w:tr>
        <w:tc>
          <w:tcPr>
            <w:tcW w:type="dxa" w:w="36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Registrar vacunas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Sí</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Sí</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No</w:t>
            </w:r>
          </w:p>
        </w:tc>
      </w:tr>
      <w:tr>
        <w:tc>
          <w:tcPr>
            <w:tcW w:type="dxa" w:w="3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Gestionar catálogos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Sí</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No</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No</w:t>
            </w:r>
          </w:p>
        </w:tc>
      </w:tr>
      <w:tr>
        <w:tc>
          <w:tcPr>
            <w:tcW w:type="dxa" w:w="36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Agendar citas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Sí</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Sí</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Sí</w:t>
            </w:r>
          </w:p>
        </w:tc>
      </w:tr>
      <w:tr>
        <w:tc>
          <w:tcPr>
            <w:tcW w:type="dxa" w:w="36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Configurar horarios y ausencias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Sí</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No</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No</w:t>
            </w:r>
          </w:p>
        </w:tc>
      </w:tr>
    </w:tbl>
    <w:p>
      <w:pPr>
        <w:pStyle w:val="Heading2"/>
      </w:pPr>
      <w:r>
        <w:rPr>
          <w:rFonts w:ascii="Arial" w:cs="Arial" w:eastAsia="Arial" w:hAnsi="Arial"/>
          <w:b/>
          <w:bCs/>
          <w:color w:val="0B7285"/>
          <w:sz w:val="26"/>
          <w:szCs w:val="26"/>
        </w:rPr>
        <w:t xml:space="preserve">3.2 Entidades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26"/>
        <w:gridCol w:w="1800"/>
      </w:tblGrid>
      <w:tr>
        <w:trPr>
          <w:tblHeader/>
        </w:trPr>
        <w:tc>
          <w:tcPr>
            <w:tcW w:type="dxa" w:w="2200"/>
            <w:tcBorders>
              <w:top w:val="single" w:color="BBBBBB" w:sz="1"/>
              <w:left w:val="single" w:color="BBBBBB" w:sz="1"/>
              <w:bottom w:val="single" w:color="BBBBBB" w:sz="1"/>
              <w:right w:val="single" w:color="BBBBBB" w:sz="1"/>
            </w:tcBorders>
            <w:shd w:fill="0B7285" w:val="clear"/>
            <w:tcMar>
              <w:top w:type="dxa" w:w="100"/>
              <w:left w:type="dxa" w:w="140"/>
              <w:bottom w:type="dxa" w:w="100"/>
              <w:right w:type="dxa" w:w="140"/>
            </w:tcMar>
            <w:vAlign w:val="center"/>
          </w:tcPr>
          <w:p>
            <w:r>
              <w:rPr>
                <w:rFonts w:ascii="Arial" w:cs="Arial" w:eastAsia="Arial" w:hAnsi="Arial"/>
                <w:b/>
                <w:bCs/>
                <w:color w:val="FFFFFF"/>
                <w:sz w:val="20"/>
                <w:szCs w:val="20"/>
              </w:rPr>
              <w:t xml:space="preserve">Entidad</w:t>
            </w:r>
          </w:p>
        </w:tc>
        <w:tc>
          <w:tcPr>
            <w:tcW w:type="dxa" w:w="5026"/>
            <w:tcBorders>
              <w:top w:val="single" w:color="BBBBBB" w:sz="1"/>
              <w:left w:val="single" w:color="BBBBBB" w:sz="1"/>
              <w:bottom w:val="single" w:color="BBBBBB" w:sz="1"/>
              <w:right w:val="single" w:color="BBBBBB" w:sz="1"/>
            </w:tcBorders>
            <w:shd w:fill="0B7285"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Descripción</w:t>
            </w:r>
          </w:p>
        </w:tc>
        <w:tc>
          <w:tcPr>
            <w:tcW w:type="dxa" w:w="1800"/>
            <w:tcBorders>
              <w:top w:val="single" w:color="BBBBBB" w:sz="1"/>
              <w:left w:val="single" w:color="BBBBBB" w:sz="1"/>
              <w:bottom w:val="single" w:color="BBBBBB" w:sz="1"/>
              <w:right w:val="single" w:color="BBBBBB" w:sz="1"/>
            </w:tcBorders>
            <w:shd w:fill="0B7285" w:val="clear"/>
            <w:tcMar>
              <w:top w:type="dxa" w:w="100"/>
              <w:left w:type="dxa" w:w="140"/>
              <w:bottom w:type="dxa" w:w="100"/>
              <w:right w:type="dxa" w:w="140"/>
            </w:tcMar>
            <w:vAlign w:val="center"/>
          </w:tcPr>
          <w:p>
            <w:r>
              <w:rPr>
                <w:rFonts w:ascii="Arial" w:cs="Arial" w:eastAsia="Arial" w:hAnsi="Arial"/>
                <w:b/>
                <w:bCs/>
                <w:color w:val="FFFFFF"/>
                <w:sz w:val="20"/>
                <w:szCs w:val="20"/>
              </w:rPr>
              <w:t xml:space="preserve">Microservicio</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Usuario</w:t>
            </w:r>
          </w:p>
        </w:tc>
        <w:tc>
          <w:tcPr>
            <w:tcW w:type="dxa" w:w="50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Identidad, credenciales y rol en el sistema.</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auth-service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Paciente</w:t>
            </w:r>
          </w:p>
        </w:tc>
        <w:tc>
          <w:tcPr>
            <w:tcW w:type="dxa" w:w="5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Mascota registrada con su propietario asociado.</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patients-service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Especie</w:t>
            </w:r>
          </w:p>
        </w:tc>
        <w:tc>
          <w:tcPr>
            <w:tcW w:type="dxa" w:w="50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Catálogo de especies (Perro, Gato, Ave, Conejo, Otro).</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patients-service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Cita</w:t>
            </w:r>
          </w:p>
        </w:tc>
        <w:tc>
          <w:tcPr>
            <w:tcW w:type="dxa" w:w="5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Evento de atención con veterinario, fecha y duración.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appointments-service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ConsultationLog</w:t>
            </w:r>
          </w:p>
        </w:tc>
        <w:tc>
          <w:tcPr>
            <w:tcW w:type="dxa" w:w="50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Bitácora de consulta en tiempo real (editable hasta cerrar).</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patients-service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ClinicalRecord</w:t>
            </w:r>
          </w:p>
        </w:tc>
        <w:tc>
          <w:tcPr>
            <w:tcW w:type="dxa" w:w="5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Registro clínico formal por consulta.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patients-service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VaccinationRecord</w:t>
            </w:r>
          </w:p>
        </w:tc>
        <w:tc>
          <w:tcPr>
            <w:tcW w:type="dxa" w:w="50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Dosis aplicada con próxima fecha calculada.</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patients-service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VaccineDefinition</w:t>
            </w:r>
          </w:p>
        </w:tc>
        <w:tc>
          <w:tcPr>
            <w:tcW w:type="dxa" w:w="5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Catálogo de vacunas con esquema y pasos entre dosis.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patients-service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ClinicSettings</w:t>
            </w:r>
          </w:p>
        </w:tc>
        <w:tc>
          <w:tcPr>
            <w:tcW w:type="dxa" w:w="50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Configuración global de horarios de la clínica.</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appointments-service</w:t>
            </w:r>
          </w:p>
        </w:tc>
      </w:tr>
    </w:tbl>
    <w:p>
      <w:pPr>
        <w:pStyle w:val="Heading1"/>
      </w:pPr>
      <w:r>
        <w:rPr>
          <w:rFonts w:ascii="Arial" w:cs="Arial" w:eastAsia="Arial" w:hAnsi="Arial"/>
          <w:b/>
          <w:bCs/>
          <w:color w:val="FFFFFF"/>
          <w:sz w:val="32"/>
          <w:szCs w:val="32"/>
        </w:rPr>
        <w:t xml:space="preserve">4. Requerimientos funcionales</w:t>
      </w:r>
    </w:p>
    <w:p>
      <w:pPr>
        <w:pStyle w:val="Heading2"/>
      </w:pPr>
      <w:r>
        <w:rPr>
          <w:rFonts w:ascii="Arial" w:cs="Arial" w:eastAsia="Arial" w:hAnsi="Arial"/>
          <w:b/>
          <w:bCs/>
          <w:color w:val="0B7285"/>
          <w:sz w:val="26"/>
          <w:szCs w:val="26"/>
        </w:rPr>
        <w:t xml:space="preserve">4.1 RF-01 · Gestión de usuarios y autenticación</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RF-01.1</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Registro de usuario</w:t>
      </w:r>
      <w:r>
        <w:rPr>
          <w:rFonts w:ascii="Arial" w:cs="Arial" w:eastAsia="Arial" w:hAnsi="Arial"/>
          <w:i/>
          <w:iCs/>
          <w:color w:val="888888"/>
          <w:sz w:val="20"/>
          <w:szCs w:val="20"/>
        </w:rPr>
        <w:t xml:space="preserve">    Prioridad: Alta</w:t>
      </w:r>
    </w:p>
    <w:p>
      <w:pPr>
        <w:spacing w:after="100"/>
        <w:ind w:left="200"/>
      </w:pPr>
      <w:r>
        <w:rPr>
          <w:rFonts w:ascii="Arial" w:cs="Arial" w:eastAsia="Arial" w:hAnsi="Arial"/>
          <w:color w:val="1F1F1F"/>
          <w:sz w:val="22"/>
          <w:szCs w:val="22"/>
        </w:rPr>
        <w:t xml:space="preserve">El sistema debe permitir el registro de nuevos usuarios con nombre, apellido, correo electrónico, teléfono, contraseña y rol. El correo electrónico debe ser único en el sistema.</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RF-01.2</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Inicio de sesión con JWT</w:t>
      </w:r>
      <w:r>
        <w:rPr>
          <w:rFonts w:ascii="Arial" w:cs="Arial" w:eastAsia="Arial" w:hAnsi="Arial"/>
          <w:i/>
          <w:iCs/>
          <w:color w:val="888888"/>
          <w:sz w:val="20"/>
          <w:szCs w:val="20"/>
        </w:rPr>
        <w:t xml:space="preserve">    Prioridad: Alta</w:t>
      </w:r>
    </w:p>
    <w:p>
      <w:pPr>
        <w:spacing w:after="100"/>
        <w:ind w:left="200"/>
      </w:pPr>
      <w:r>
        <w:rPr>
          <w:rFonts w:ascii="Arial" w:cs="Arial" w:eastAsia="Arial" w:hAnsi="Arial"/>
          <w:color w:val="1F1F1F"/>
          <w:sz w:val="22"/>
          <w:szCs w:val="22"/>
        </w:rPr>
        <w:t xml:space="preserve">El sistema debe autenticar al usuario con correo electrónico y contraseña, y retornar un token JWT almacenado en una cookie httpOnly no accesible desde JavaScript, con atributos Secure y SameSite=Strict.</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RF-01.3</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Gestión de usuarios por el administrador</w:t>
      </w:r>
      <w:r>
        <w:rPr>
          <w:rFonts w:ascii="Arial" w:cs="Arial" w:eastAsia="Arial" w:hAnsi="Arial"/>
          <w:i/>
          <w:iCs/>
          <w:color w:val="888888"/>
          <w:sz w:val="20"/>
          <w:szCs w:val="20"/>
        </w:rPr>
        <w:t xml:space="preserve">    Prioridad: Alta</w:t>
      </w:r>
    </w:p>
    <w:p>
      <w:pPr>
        <w:spacing w:after="100"/>
        <w:ind w:left="200"/>
      </w:pPr>
      <w:r>
        <w:rPr>
          <w:rFonts w:ascii="Arial" w:cs="Arial" w:eastAsia="Arial" w:hAnsi="Arial"/>
          <w:color w:val="1F1F1F"/>
          <w:sz w:val="22"/>
          <w:szCs w:val="22"/>
        </w:rPr>
        <w:t xml:space="preserve">El administrador debe poder listar todos los usuarios, activar, desactivar y eliminar (eliminación lógica) cualquier cuenta del sistema.</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RF-01.4</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Edición de perfil propio</w:t>
      </w:r>
      <w:r>
        <w:rPr>
          <w:rFonts w:ascii="Arial" w:cs="Arial" w:eastAsia="Arial" w:hAnsi="Arial"/>
          <w:i/>
          <w:iCs/>
          <w:color w:val="888888"/>
          <w:sz w:val="20"/>
          <w:szCs w:val="20"/>
        </w:rPr>
        <w:t xml:space="preserve">    Prioridad: Media</w:t>
      </w:r>
    </w:p>
    <w:p>
      <w:pPr>
        <w:spacing w:after="100"/>
        <w:ind w:left="200"/>
      </w:pPr>
      <w:r>
        <w:rPr>
          <w:rFonts w:ascii="Arial" w:cs="Arial" w:eastAsia="Arial" w:hAnsi="Arial"/>
          <w:color w:val="1F1F1F"/>
          <w:sz w:val="22"/>
          <w:szCs w:val="22"/>
        </w:rPr>
        <w:t xml:space="preserve">Cualquier usuario autenticado debe poder actualizar su nombre, apellido y número de teléfono. El correo electrónico y el rol no son modificables por el propio usuario.</w:t>
      </w:r>
    </w:p>
    <w:p>
      <w:pPr>
        <w:pStyle w:val="Heading2"/>
      </w:pPr>
      <w:r>
        <w:rPr>
          <w:rFonts w:ascii="Arial" w:cs="Arial" w:eastAsia="Arial" w:hAnsi="Arial"/>
          <w:b/>
          <w:bCs/>
          <w:color w:val="0B7285"/>
          <w:sz w:val="26"/>
          <w:szCs w:val="26"/>
        </w:rPr>
        <w:t xml:space="preserve">4.2 RF-02 · Gestión de pacientes</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RF-02.1</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Registro de mascota</w:t>
      </w:r>
      <w:r>
        <w:rPr>
          <w:rFonts w:ascii="Arial" w:cs="Arial" w:eastAsia="Arial" w:hAnsi="Arial"/>
          <w:i/>
          <w:iCs/>
          <w:color w:val="888888"/>
          <w:sz w:val="20"/>
          <w:szCs w:val="20"/>
        </w:rPr>
        <w:t xml:space="preserve">    Prioridad: Alta</w:t>
      </w:r>
    </w:p>
    <w:p>
      <w:pPr>
        <w:spacing w:after="100"/>
        <w:ind w:left="200"/>
      </w:pPr>
      <w:r>
        <w:rPr>
          <w:rFonts w:ascii="Arial" w:cs="Arial" w:eastAsia="Arial" w:hAnsi="Arial"/>
          <w:color w:val="1F1F1F"/>
          <w:sz w:val="22"/>
          <w:szCs w:val="22"/>
        </w:rPr>
        <w:t xml:space="preserve">El sistema debe permitir registrar una mascota con nombre, especie, raza, fecha de nacimiento, sexo, peso, color y número de microchip (opcional). Veterinarios y administradores deben poder asociarla a cualquier propietario registrado en el sistema.</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RF-02.2</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Búsqueda y filtrado de pacientes</w:t>
      </w:r>
      <w:r>
        <w:rPr>
          <w:rFonts w:ascii="Arial" w:cs="Arial" w:eastAsia="Arial" w:hAnsi="Arial"/>
          <w:i/>
          <w:iCs/>
          <w:color w:val="888888"/>
          <w:sz w:val="20"/>
          <w:szCs w:val="20"/>
        </w:rPr>
        <w:t xml:space="preserve">    Prioridad: Media</w:t>
      </w:r>
    </w:p>
    <w:p>
      <w:pPr>
        <w:spacing w:after="100"/>
        <w:ind w:left="200"/>
      </w:pPr>
      <w:r>
        <w:rPr>
          <w:rFonts w:ascii="Arial" w:cs="Arial" w:eastAsia="Arial" w:hAnsi="Arial"/>
          <w:color w:val="1F1F1F"/>
          <w:sz w:val="22"/>
          <w:szCs w:val="22"/>
        </w:rPr>
        <w:t xml:space="preserve">El sistema debe permitir filtrar pacientes por especie y buscar por nombre. Los resultados deben paginarse para soportar un volumen creciente de registros.</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RF-02.3</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Aislamiento por propietario</w:t>
      </w:r>
      <w:r>
        <w:rPr>
          <w:rFonts w:ascii="Arial" w:cs="Arial" w:eastAsia="Arial" w:hAnsi="Arial"/>
          <w:i/>
          <w:iCs/>
          <w:color w:val="888888"/>
          <w:sz w:val="20"/>
          <w:szCs w:val="20"/>
        </w:rPr>
        <w:t xml:space="preserve">    Prioridad: Alta</w:t>
      </w:r>
    </w:p>
    <w:p>
      <w:pPr>
        <w:spacing w:after="100"/>
        <w:ind w:left="200"/>
      </w:pPr>
      <w:r>
        <w:rPr>
          <w:rFonts w:ascii="Arial" w:cs="Arial" w:eastAsia="Arial" w:hAnsi="Arial"/>
          <w:color w:val="1F1F1F"/>
          <w:sz w:val="22"/>
          <w:szCs w:val="22"/>
        </w:rPr>
        <w:t xml:space="preserve">Un usuario con rol Owner solo debe poder visualizar, editar y consultar las mascotas que le pertenecen. El acceso a mascotas de otros propietarios debe retornar error 403 Forbidden.</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RF-02.4</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Eliminación lógica de mascota</w:t>
      </w:r>
      <w:r>
        <w:rPr>
          <w:rFonts w:ascii="Arial" w:cs="Arial" w:eastAsia="Arial" w:hAnsi="Arial"/>
          <w:i/>
          <w:iCs/>
          <w:color w:val="888888"/>
          <w:sz w:val="20"/>
          <w:szCs w:val="20"/>
        </w:rPr>
        <w:t xml:space="preserve">    Prioridad: Baja</w:t>
      </w:r>
    </w:p>
    <w:p>
      <w:pPr>
        <w:spacing w:after="100"/>
        <w:ind w:left="200"/>
      </w:pPr>
      <w:r>
        <w:rPr>
          <w:rFonts w:ascii="Arial" w:cs="Arial" w:eastAsia="Arial" w:hAnsi="Arial"/>
          <w:color w:val="1F1F1F"/>
          <w:sz w:val="22"/>
          <w:szCs w:val="22"/>
        </w:rPr>
        <w:t xml:space="preserve">Solo el administrador puede eliminar una mascota. La eliminación es lógica (soft delete): el registro permanece en la base de datos con el campo IsDeleted = true y no aparece en ninguna consulta posterior.</w:t>
      </w:r>
    </w:p>
    <w:p>
      <w:pPr>
        <w:pStyle w:val="Heading2"/>
      </w:pPr>
      <w:r>
        <w:rPr>
          <w:rFonts w:ascii="Arial" w:cs="Arial" w:eastAsia="Arial" w:hAnsi="Arial"/>
          <w:b/>
          <w:bCs/>
          <w:color w:val="0B7285"/>
          <w:sz w:val="26"/>
          <w:szCs w:val="26"/>
        </w:rPr>
        <w:t xml:space="preserve">4.3 RF-03 · Historia clínica</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RF-03.1</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Bitácora de consulta</w:t>
      </w:r>
      <w:r>
        <w:rPr>
          <w:rFonts w:ascii="Arial" w:cs="Arial" w:eastAsia="Arial" w:hAnsi="Arial"/>
          <w:i/>
          <w:iCs/>
          <w:color w:val="888888"/>
          <w:sz w:val="20"/>
          <w:szCs w:val="20"/>
        </w:rPr>
        <w:t xml:space="preserve">    Prioridad: Alta</w:t>
      </w:r>
    </w:p>
    <w:p>
      <w:pPr>
        <w:spacing w:after="100"/>
        <w:ind w:left="200"/>
      </w:pPr>
      <w:r>
        <w:rPr>
          <w:rFonts w:ascii="Arial" w:cs="Arial" w:eastAsia="Arial" w:hAnsi="Arial"/>
          <w:color w:val="1F1F1F"/>
          <w:sz w:val="22"/>
          <w:szCs w:val="22"/>
        </w:rPr>
        <w:t xml:space="preserve">El sistema debe permitir abrir una bitácora de consulta al iniciar la atención, editarla durante la consulta (anamnesis, signos vitales, diagnóstico, plan terapéutico) y cerrarla de forma irreversible al finalizar. Una vez cerrada, la bitácora no puede ser modificada bajo ninguna circunstancia.</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RF-03.2</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Registro clínico formal</w:t>
      </w:r>
      <w:r>
        <w:rPr>
          <w:rFonts w:ascii="Arial" w:cs="Arial" w:eastAsia="Arial" w:hAnsi="Arial"/>
          <w:i/>
          <w:iCs/>
          <w:color w:val="888888"/>
          <w:sz w:val="20"/>
          <w:szCs w:val="20"/>
        </w:rPr>
        <w:t xml:space="preserve">    Prioridad: Alta</w:t>
      </w:r>
    </w:p>
    <w:p>
      <w:pPr>
        <w:spacing w:after="100"/>
        <w:ind w:left="200"/>
      </w:pPr>
      <w:r>
        <w:rPr>
          <w:rFonts w:ascii="Arial" w:cs="Arial" w:eastAsia="Arial" w:hAnsi="Arial"/>
          <w:color w:val="1F1F1F"/>
          <w:sz w:val="22"/>
          <w:szCs w:val="22"/>
        </w:rPr>
        <w:t xml:space="preserve">El sistema debe permitir crear un registro clínico formal por consulta que incluya: motivo de consulta, diagnóstico, tratamiento indicado, notas del veterinario, peso y temperatura del paciente al momento de la consulta.</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RF-03.3</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Vinculación con cita</w:t>
      </w:r>
      <w:r>
        <w:rPr>
          <w:rFonts w:ascii="Arial" w:cs="Arial" w:eastAsia="Arial" w:hAnsi="Arial"/>
          <w:i/>
          <w:iCs/>
          <w:color w:val="888888"/>
          <w:sz w:val="20"/>
          <w:szCs w:val="20"/>
        </w:rPr>
        <w:t xml:space="preserve">    Prioridad: Media</w:t>
      </w:r>
    </w:p>
    <w:p>
      <w:pPr>
        <w:spacing w:after="100"/>
        <w:ind w:left="200"/>
      </w:pPr>
      <w:r>
        <w:rPr>
          <w:rFonts w:ascii="Arial" w:cs="Arial" w:eastAsia="Arial" w:hAnsi="Arial"/>
          <w:color w:val="1F1F1F"/>
          <w:sz w:val="22"/>
          <w:szCs w:val="22"/>
        </w:rPr>
        <w:t xml:space="preserve">Una bitácora puede vincularse a una cita mediante el campo AppointmentId. No deben existir dos bitácoras vinculadas a la misma cita. Una bitácora sin cita asociada corresponde a una consulta sin previa cita agendada.</w:t>
      </w:r>
    </w:p>
    <w:p>
      <w:pPr>
        <w:pStyle w:val="Heading2"/>
      </w:pPr>
      <w:r>
        <w:rPr>
          <w:rFonts w:ascii="Arial" w:cs="Arial" w:eastAsia="Arial" w:hAnsi="Arial"/>
          <w:b/>
          <w:bCs/>
          <w:color w:val="0B7285"/>
          <w:sz w:val="26"/>
          <w:szCs w:val="26"/>
        </w:rPr>
        <w:t xml:space="preserve">4.4 RF-04 · Agendamiento de citas</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RF-04.1</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Creación de cita</w:t>
      </w:r>
      <w:r>
        <w:rPr>
          <w:rFonts w:ascii="Arial" w:cs="Arial" w:eastAsia="Arial" w:hAnsi="Arial"/>
          <w:i/>
          <w:iCs/>
          <w:color w:val="888888"/>
          <w:sz w:val="20"/>
          <w:szCs w:val="20"/>
        </w:rPr>
        <w:t xml:space="preserve">    Prioridad: Alta</w:t>
      </w:r>
    </w:p>
    <w:p>
      <w:pPr>
        <w:spacing w:after="100"/>
        <w:ind w:left="200"/>
      </w:pPr>
      <w:r>
        <w:rPr>
          <w:rFonts w:ascii="Arial" w:cs="Arial" w:eastAsia="Arial" w:hAnsi="Arial"/>
          <w:color w:val="1F1F1F"/>
          <w:sz w:val="22"/>
          <w:szCs w:val="22"/>
        </w:rPr>
        <w:t xml:space="preserve">El sistema debe permitir agendar una cita seleccionando veterinario, paciente, fecha y duración. Solo deben mostrarse los horarios disponibles calculados en tiempo real, descartando los slots bloqueados por citas existentes, ausencias o por estar fuera del horario de atención.</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RF-04.2</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Control de disponibilidad</w:t>
      </w:r>
      <w:r>
        <w:rPr>
          <w:rFonts w:ascii="Arial" w:cs="Arial" w:eastAsia="Arial" w:hAnsi="Arial"/>
          <w:i/>
          <w:iCs/>
          <w:color w:val="888888"/>
          <w:sz w:val="20"/>
          <w:szCs w:val="20"/>
        </w:rPr>
        <w:t xml:space="preserve">    Prioridad: Alta</w:t>
      </w:r>
    </w:p>
    <w:p>
      <w:pPr>
        <w:spacing w:after="100"/>
        <w:ind w:left="200"/>
      </w:pPr>
      <w:r>
        <w:rPr>
          <w:rFonts w:ascii="Arial" w:cs="Arial" w:eastAsia="Arial" w:hAnsi="Arial"/>
          <w:color w:val="1F1F1F"/>
          <w:sz w:val="22"/>
          <w:szCs w:val="22"/>
        </w:rPr>
        <w:t xml:space="preserve">La disponibilidad de un veterinario se calcula restando los slots bloqueados por: citas en estado Scheduled, ausencias de día completo y ausencias parciales por horas que se solapen con el slot consultado.</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RF-04.3</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Estados de cita y transiciones válidas</w:t>
      </w:r>
      <w:r>
        <w:rPr>
          <w:rFonts w:ascii="Arial" w:cs="Arial" w:eastAsia="Arial" w:hAnsi="Arial"/>
          <w:i/>
          <w:iCs/>
          <w:color w:val="888888"/>
          <w:sz w:val="20"/>
          <w:szCs w:val="20"/>
        </w:rPr>
        <w:t xml:space="preserve">    Prioridad: Alta</w:t>
      </w:r>
    </w:p>
    <w:p>
      <w:pPr>
        <w:spacing w:after="100"/>
        <w:ind w:left="200"/>
      </w:pPr>
      <w:r>
        <w:rPr>
          <w:rFonts w:ascii="Arial" w:cs="Arial" w:eastAsia="Arial" w:hAnsi="Arial"/>
          <w:color w:val="1F1F1F"/>
          <w:sz w:val="22"/>
          <w:szCs w:val="22"/>
        </w:rPr>
        <w:t xml:space="preserve">Una cita puede estar en los estados: Scheduled, Completed, Cancelled o NoShow. Las transiciones válidas son: Scheduled → Completed, Scheduled → Cancelled, Scheduled → NoShow. No se permiten transiciones desde estados finales.</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RF-04.4</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Notificación de confirmación de cita</w:t>
      </w:r>
      <w:r>
        <w:rPr>
          <w:rFonts w:ascii="Arial" w:cs="Arial" w:eastAsia="Arial" w:hAnsi="Arial"/>
          <w:i/>
          <w:iCs/>
          <w:color w:val="888888"/>
          <w:sz w:val="20"/>
          <w:szCs w:val="20"/>
        </w:rPr>
        <w:t xml:space="preserve">    Prioridad: Media</w:t>
      </w:r>
    </w:p>
    <w:p>
      <w:pPr>
        <w:spacing w:after="100"/>
        <w:ind w:left="200"/>
      </w:pPr>
      <w:r>
        <w:rPr>
          <w:rFonts w:ascii="Arial" w:cs="Arial" w:eastAsia="Arial" w:hAnsi="Arial"/>
          <w:color w:val="1F1F1F"/>
          <w:sz w:val="22"/>
          <w:szCs w:val="22"/>
        </w:rPr>
        <w:t xml:space="preserve">Al confirmar una cita, el sistema debe enviar una notificación automática al propietario por WhatsApp y por correo electrónico, con los detalles completos de la cita (veterinario, fecha, hora y mascota).</w:t>
      </w:r>
    </w:p>
    <w:p>
      <w:pPr>
        <w:pStyle w:val="Heading2"/>
      </w:pPr>
      <w:r>
        <w:rPr>
          <w:rFonts w:ascii="Arial" w:cs="Arial" w:eastAsia="Arial" w:hAnsi="Arial"/>
          <w:b/>
          <w:bCs/>
          <w:color w:val="0B7285"/>
          <w:sz w:val="26"/>
          <w:szCs w:val="26"/>
        </w:rPr>
        <w:t xml:space="preserve">4.5 RF-05 · Gestión de horarios</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RF-05.1</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Horario global de la clínica</w:t>
      </w:r>
      <w:r>
        <w:rPr>
          <w:rFonts w:ascii="Arial" w:cs="Arial" w:eastAsia="Arial" w:hAnsi="Arial"/>
          <w:i/>
          <w:iCs/>
          <w:color w:val="888888"/>
          <w:sz w:val="20"/>
          <w:szCs w:val="20"/>
        </w:rPr>
        <w:t xml:space="preserve">    Prioridad: Alta</w:t>
      </w:r>
    </w:p>
    <w:p>
      <w:pPr>
        <w:spacing w:after="100"/>
        <w:ind w:left="200"/>
      </w:pPr>
      <w:r>
        <w:rPr>
          <w:rFonts w:ascii="Arial" w:cs="Arial" w:eastAsia="Arial" w:hAnsi="Arial"/>
          <w:color w:val="1F1F1F"/>
          <w:sz w:val="22"/>
          <w:szCs w:val="22"/>
        </w:rPr>
        <w:t xml:space="preserve">El administrador debe poder configurar el horario de atención global de la clínica: hora de apertura, hora de cierre y días laborables de la semana. Este horario aplica a todos los veterinarios por defecto.</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RF-05.2</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Horario personalizado por veterinario</w:t>
      </w:r>
      <w:r>
        <w:rPr>
          <w:rFonts w:ascii="Arial" w:cs="Arial" w:eastAsia="Arial" w:hAnsi="Arial"/>
          <w:i/>
          <w:iCs/>
          <w:color w:val="888888"/>
          <w:sz w:val="20"/>
          <w:szCs w:val="20"/>
        </w:rPr>
        <w:t xml:space="preserve">    Prioridad: Alta</w:t>
      </w:r>
    </w:p>
    <w:p>
      <w:pPr>
        <w:spacing w:after="100"/>
        <w:ind w:left="200"/>
      </w:pPr>
      <w:r>
        <w:rPr>
          <w:rFonts w:ascii="Arial" w:cs="Arial" w:eastAsia="Arial" w:hAnsi="Arial"/>
          <w:color w:val="1F1F1F"/>
          <w:sz w:val="22"/>
          <w:szCs w:val="22"/>
        </w:rPr>
        <w:t xml:space="preserve">El administrador debe poder definir un horario de atención diferente para un veterinario en un día específico de la semana, sobreescribiendo el horario global únicamente para ese veterinario y ese día.</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RF-05.3</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Registro de ausencias de veterinario</w:t>
      </w:r>
      <w:r>
        <w:rPr>
          <w:rFonts w:ascii="Arial" w:cs="Arial" w:eastAsia="Arial" w:hAnsi="Arial"/>
          <w:i/>
          <w:iCs/>
          <w:color w:val="888888"/>
          <w:sz w:val="20"/>
          <w:szCs w:val="20"/>
        </w:rPr>
        <w:t xml:space="preserve">    Prioridad: Alta</w:t>
      </w:r>
    </w:p>
    <w:p>
      <w:pPr>
        <w:spacing w:after="100"/>
        <w:ind w:left="200"/>
      </w:pPr>
      <w:r>
        <w:rPr>
          <w:rFonts w:ascii="Arial" w:cs="Arial" w:eastAsia="Arial" w:hAnsi="Arial"/>
          <w:color w:val="1F1F1F"/>
          <w:sz w:val="22"/>
          <w:szCs w:val="22"/>
        </w:rPr>
        <w:t xml:space="preserve">El administrador debe poder registrar ausencias de un veterinario por rango de fechas, indicando el motivo. Las ausencias pueden ser de día completo o parciales (con hora de inicio y hora de fin), y deben impactar de forma inmediata el cálculo de disponibilidad.</w:t>
      </w:r>
    </w:p>
    <w:p>
      <w:pPr>
        <w:pStyle w:val="Heading2"/>
      </w:pPr>
      <w:r>
        <w:rPr>
          <w:rFonts w:ascii="Arial" w:cs="Arial" w:eastAsia="Arial" w:hAnsi="Arial"/>
          <w:b/>
          <w:bCs/>
          <w:color w:val="0B7285"/>
          <w:sz w:val="26"/>
          <w:szCs w:val="26"/>
        </w:rPr>
        <w:t xml:space="preserve">4.6 RF-06 · Control de vacunación</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RF-06.1</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Catálogo de vacunas</w:t>
      </w:r>
      <w:r>
        <w:rPr>
          <w:rFonts w:ascii="Arial" w:cs="Arial" w:eastAsia="Arial" w:hAnsi="Arial"/>
          <w:i/>
          <w:iCs/>
          <w:color w:val="888888"/>
          <w:sz w:val="20"/>
          <w:szCs w:val="20"/>
        </w:rPr>
        <w:t xml:space="preserve">    Prioridad: Alta</w:t>
      </w:r>
    </w:p>
    <w:p>
      <w:pPr>
        <w:spacing w:after="100"/>
        <w:ind w:left="200"/>
      </w:pPr>
      <w:r>
        <w:rPr>
          <w:rFonts w:ascii="Arial" w:cs="Arial" w:eastAsia="Arial" w:hAnsi="Arial"/>
          <w:color w:val="1F1F1F"/>
          <w:sz w:val="22"/>
          <w:szCs w:val="22"/>
        </w:rPr>
        <w:t xml:space="preserve">El administrador debe poder crear y gestionar un catálogo de vacunas con tres esquemas posibles: dosis única (SingleDose), primovacunación con múltiples dosis (MultiDose, con intervalos configurables en días entre dosis) e intervalo anual (Annual, con número de meses configurables).</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RF-06.2</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Registro de vacunación aplicada</w:t>
      </w:r>
      <w:r>
        <w:rPr>
          <w:rFonts w:ascii="Arial" w:cs="Arial" w:eastAsia="Arial" w:hAnsi="Arial"/>
          <w:i/>
          <w:iCs/>
          <w:color w:val="888888"/>
          <w:sz w:val="20"/>
          <w:szCs w:val="20"/>
        </w:rPr>
        <w:t xml:space="preserve">    Prioridad: Alta</w:t>
      </w:r>
    </w:p>
    <w:p>
      <w:pPr>
        <w:spacing w:after="100"/>
        <w:ind w:left="200"/>
      </w:pPr>
      <w:r>
        <w:rPr>
          <w:rFonts w:ascii="Arial" w:cs="Arial" w:eastAsia="Arial" w:hAnsi="Arial"/>
          <w:color w:val="1F1F1F"/>
          <w:sz w:val="22"/>
          <w:szCs w:val="22"/>
        </w:rPr>
        <w:t xml:space="preserve">El veterinario debe poder registrar una dosis aplicada a un paciente indicando la vacuna del catálogo, la fecha de aplicación, el número de lote (opcional) y notas adicionales. El sistema calcula automáticamente la fecha del próximo refuerzo según el esquema. El veterinario puede sobrescribir esa fecha si lo considera clínicamente necesario.</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RF-06.3</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Estado del esquema de vacunación</w:t>
      </w:r>
      <w:r>
        <w:rPr>
          <w:rFonts w:ascii="Arial" w:cs="Arial" w:eastAsia="Arial" w:hAnsi="Arial"/>
          <w:i/>
          <w:iCs/>
          <w:color w:val="888888"/>
          <w:sz w:val="20"/>
          <w:szCs w:val="20"/>
        </w:rPr>
        <w:t xml:space="preserve">    Prioridad: Media</w:t>
      </w:r>
    </w:p>
    <w:p>
      <w:pPr>
        <w:spacing w:after="100"/>
        <w:ind w:left="200"/>
      </w:pPr>
      <w:r>
        <w:rPr>
          <w:rFonts w:ascii="Arial" w:cs="Arial" w:eastAsia="Arial" w:hAnsi="Arial"/>
          <w:color w:val="1F1F1F"/>
          <w:sz w:val="22"/>
          <w:szCs w:val="22"/>
        </w:rPr>
        <w:t xml:space="preserve">El historial de vacunación de cada paciente debe mostrar el estado de cada registro: Al día (más de 7 días para la próxima dosis), Próxima (vence en 7 días o menos) o Vencida (la fecha de próxima dosis ya pasó). Las vacunas de dosis única sin próximo refuerzo no tienen estado de vencimiento.</w:t>
      </w:r>
    </w:p>
    <w:p>
      <w:pPr>
        <w:pStyle w:val="Heading2"/>
      </w:pPr>
      <w:r>
        <w:rPr>
          <w:rFonts w:ascii="Arial" w:cs="Arial" w:eastAsia="Arial" w:hAnsi="Arial"/>
          <w:b/>
          <w:bCs/>
          <w:color w:val="0B7285"/>
          <w:sz w:val="26"/>
          <w:szCs w:val="26"/>
        </w:rPr>
        <w:t xml:space="preserve">4.7 RF-07 · Notificaciones automáticas</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RF-07.1</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Recordatorio de cita próxima</w:t>
      </w:r>
      <w:r>
        <w:rPr>
          <w:rFonts w:ascii="Arial" w:cs="Arial" w:eastAsia="Arial" w:hAnsi="Arial"/>
          <w:i/>
          <w:iCs/>
          <w:color w:val="888888"/>
          <w:sz w:val="20"/>
          <w:szCs w:val="20"/>
        </w:rPr>
        <w:t xml:space="preserve">    Prioridad: Alta</w:t>
      </w:r>
    </w:p>
    <w:p>
      <w:pPr>
        <w:spacing w:after="100"/>
        <w:ind w:left="200"/>
      </w:pPr>
      <w:r>
        <w:rPr>
          <w:rFonts w:ascii="Arial" w:cs="Arial" w:eastAsia="Arial" w:hAnsi="Arial"/>
          <w:color w:val="1F1F1F"/>
          <w:sz w:val="22"/>
          <w:szCs w:val="22"/>
        </w:rPr>
        <w:t xml:space="preserve">El sistema debe enviar un recordatorio automático al propietario por WhatsApp y correo electrónico el día anterior a cada cita confirmada, a las 08:00 hora de Colombia (13:00 UTC). El envío debe ser idempotente: si el contenedor reinicia, no debe reenviar recordatorios ya enviados.</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RF-07.2</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Recordatorio de vacuna pendiente</w:t>
      </w:r>
      <w:r>
        <w:rPr>
          <w:rFonts w:ascii="Arial" w:cs="Arial" w:eastAsia="Arial" w:hAnsi="Arial"/>
          <w:i/>
          <w:iCs/>
          <w:color w:val="888888"/>
          <w:sz w:val="20"/>
          <w:szCs w:val="20"/>
        </w:rPr>
        <w:t xml:space="preserve">    Prioridad: Alta</w:t>
      </w:r>
    </w:p>
    <w:p>
      <w:pPr>
        <w:spacing w:after="100"/>
        <w:ind w:left="200"/>
      </w:pPr>
      <w:r>
        <w:rPr>
          <w:rFonts w:ascii="Arial" w:cs="Arial" w:eastAsia="Arial" w:hAnsi="Arial"/>
          <w:color w:val="1F1F1F"/>
          <w:sz w:val="22"/>
          <w:szCs w:val="22"/>
        </w:rPr>
        <w:t xml:space="preserve">El sistema debe enviar recordatorios automáticos al propietario cuando la próxima dosis de una vacuna esté a 7 días y a 2 días de su fecha de vencimiento, por WhatsApp y correo electrónico. Ambos envíos son independientes e idempotentes.</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RF-07.3</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Notificación de registro de mascota</w:t>
      </w:r>
      <w:r>
        <w:rPr>
          <w:rFonts w:ascii="Arial" w:cs="Arial" w:eastAsia="Arial" w:hAnsi="Arial"/>
          <w:i/>
          <w:iCs/>
          <w:color w:val="888888"/>
          <w:sz w:val="20"/>
          <w:szCs w:val="20"/>
        </w:rPr>
        <w:t xml:space="preserve">    Prioridad: Media</w:t>
      </w:r>
    </w:p>
    <w:p>
      <w:pPr>
        <w:spacing w:after="100"/>
        <w:ind w:left="200"/>
      </w:pPr>
      <w:r>
        <w:rPr>
          <w:rFonts w:ascii="Arial" w:cs="Arial" w:eastAsia="Arial" w:hAnsi="Arial"/>
          <w:color w:val="1F1F1F"/>
          <w:sz w:val="22"/>
          <w:szCs w:val="22"/>
        </w:rPr>
        <w:t xml:space="preserve">Al registrar una nueva mascota en el sistema, el servicio debe enviar una notificación de bienvenida al propietario por WhatsApp y correo electrónico, incluyendo el nombre de la mascota y datos básicos del registro.</w:t>
      </w:r>
    </w:p>
    <w:p>
      <w:pPr>
        <w:pStyle w:val="Heading1"/>
      </w:pPr>
      <w:r>
        <w:rPr>
          <w:rFonts w:ascii="Arial" w:cs="Arial" w:eastAsia="Arial" w:hAnsi="Arial"/>
          <w:b/>
          <w:bCs/>
          <w:color w:val="FFFFFF"/>
          <w:sz w:val="32"/>
          <w:szCs w:val="32"/>
        </w:rPr>
        <w:t xml:space="preserve">5. Requerimientos no funcionales</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RNF-01</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Seguridad de autenticación</w:t>
      </w:r>
      <w:r>
        <w:rPr>
          <w:rFonts w:ascii="Arial" w:cs="Arial" w:eastAsia="Arial" w:hAnsi="Arial"/>
          <w:i/>
          <w:iCs/>
          <w:color w:val="888888"/>
          <w:sz w:val="20"/>
          <w:szCs w:val="20"/>
        </w:rPr>
        <w:t xml:space="preserve">    Prioridad: Alta</w:t>
      </w:r>
    </w:p>
    <w:p>
      <w:pPr>
        <w:spacing w:after="100"/>
        <w:ind w:left="200"/>
      </w:pPr>
      <w:r>
        <w:rPr>
          <w:rFonts w:ascii="Arial" w:cs="Arial" w:eastAsia="Arial" w:hAnsi="Arial"/>
          <w:color w:val="1F1F1F"/>
          <w:sz w:val="22"/>
          <w:szCs w:val="22"/>
        </w:rPr>
        <w:t xml:space="preserve">El token JWT debe almacenarse en una cookie con atributos httpOnly, Secure y SameSite=Strict para prevenir ataques XSS y CSRF. Las contraseñas deben almacenarse como hash bcrypt con salt aleatorio.</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RNF-02</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Disponibilidad continua</w:t>
      </w:r>
      <w:r>
        <w:rPr>
          <w:rFonts w:ascii="Arial" w:cs="Arial" w:eastAsia="Arial" w:hAnsi="Arial"/>
          <w:i/>
          <w:iCs/>
          <w:color w:val="888888"/>
          <w:sz w:val="20"/>
          <w:szCs w:val="20"/>
        </w:rPr>
        <w:t xml:space="preserve">    Prioridad: Alta</w:t>
      </w:r>
    </w:p>
    <w:p>
      <w:pPr>
        <w:spacing w:after="100"/>
        <w:ind w:left="200"/>
      </w:pPr>
      <w:r>
        <w:rPr>
          <w:rFonts w:ascii="Arial" w:cs="Arial" w:eastAsia="Arial" w:hAnsi="Arial"/>
          <w:color w:val="1F1F1F"/>
          <w:sz w:val="22"/>
          <w:szCs w:val="22"/>
        </w:rPr>
        <w:t xml:space="preserve">El sistema debe operar de forma continua. Los contenedores deben contar con healthchecks configurados y reiniciarse automáticamente ante fallos mediante la política restart: unless-stopped de Docker Compose.</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RNF-03</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Tiempo de respuesta en disponibilidad</w:t>
      </w:r>
      <w:r>
        <w:rPr>
          <w:rFonts w:ascii="Arial" w:cs="Arial" w:eastAsia="Arial" w:hAnsi="Arial"/>
          <w:i/>
          <w:iCs/>
          <w:color w:val="888888"/>
          <w:sz w:val="20"/>
          <w:szCs w:val="20"/>
        </w:rPr>
        <w:t xml:space="preserve">    Prioridad: Media</w:t>
      </w:r>
    </w:p>
    <w:p>
      <w:pPr>
        <w:spacing w:after="100"/>
        <w:ind w:left="200"/>
      </w:pPr>
      <w:r>
        <w:rPr>
          <w:rFonts w:ascii="Arial" w:cs="Arial" w:eastAsia="Arial" w:hAnsi="Arial"/>
          <w:color w:val="1F1F1F"/>
          <w:sz w:val="22"/>
          <w:szCs w:val="22"/>
        </w:rPr>
        <w:t xml:space="preserve">El cálculo de slots disponibles para una fecha y un veterinario específicos debe responder en menos de 500 ms bajo carga normal de uso.</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RNF-04</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Tolerancia a fallos en notificaciones</w:t>
      </w:r>
      <w:r>
        <w:rPr>
          <w:rFonts w:ascii="Arial" w:cs="Arial" w:eastAsia="Arial" w:hAnsi="Arial"/>
          <w:i/>
          <w:iCs/>
          <w:color w:val="888888"/>
          <w:sz w:val="20"/>
          <w:szCs w:val="20"/>
        </w:rPr>
        <w:t xml:space="preserve">    Prioridad: Alta</w:t>
      </w:r>
    </w:p>
    <w:p>
      <w:pPr>
        <w:spacing w:after="100"/>
        <w:ind w:left="200"/>
      </w:pPr>
      <w:r>
        <w:rPr>
          <w:rFonts w:ascii="Arial" w:cs="Arial" w:eastAsia="Arial" w:hAnsi="Arial"/>
          <w:color w:val="1F1F1F"/>
          <w:sz w:val="22"/>
          <w:szCs w:val="22"/>
        </w:rPr>
        <w:t xml:space="preserve">Un fallo en el envío de una notificación (WhatsApp o correo) no debe interrumpir el flujo clínico ni retornar un error visible al usuario. Los errores de envío deben registrarse en el log del servicio de notificaciones para diagnóstico posterior.</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RNF-05</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Usabilidad y accesibilidad</w:t>
      </w:r>
      <w:r>
        <w:rPr>
          <w:rFonts w:ascii="Arial" w:cs="Arial" w:eastAsia="Arial" w:hAnsi="Arial"/>
          <w:i/>
          <w:iCs/>
          <w:color w:val="888888"/>
          <w:sz w:val="20"/>
          <w:szCs w:val="20"/>
        </w:rPr>
        <w:t xml:space="preserve">    Prioridad: Media</w:t>
      </w:r>
    </w:p>
    <w:p>
      <w:pPr>
        <w:spacing w:after="100"/>
        <w:ind w:left="200"/>
      </w:pPr>
      <w:r>
        <w:rPr>
          <w:rFonts w:ascii="Arial" w:cs="Arial" w:eastAsia="Arial" w:hAnsi="Arial"/>
          <w:color w:val="1F1F1F"/>
          <w:sz w:val="22"/>
          <w:szCs w:val="22"/>
        </w:rPr>
        <w:t xml:space="preserve">La interfaz debe ser responsiva y accesible desde navegadores de escritorio modernos (Chrome, Firefox, Edge). El flujo completo de agendamiento de una cita debe completarse en un máximo de 4 pasos desde la pantalla principal.</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RNF-06</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Procesamiento por lotes en notificaciones</w:t>
      </w:r>
      <w:r>
        <w:rPr>
          <w:rFonts w:ascii="Arial" w:cs="Arial" w:eastAsia="Arial" w:hAnsi="Arial"/>
          <w:i/>
          <w:iCs/>
          <w:color w:val="888888"/>
          <w:sz w:val="20"/>
          <w:szCs w:val="20"/>
        </w:rPr>
        <w:t xml:space="preserve">    Prioridad: Media</w:t>
      </w:r>
    </w:p>
    <w:p>
      <w:pPr>
        <w:spacing w:after="100"/>
        <w:ind w:left="200"/>
      </w:pPr>
      <w:r>
        <w:rPr>
          <w:rFonts w:ascii="Arial" w:cs="Arial" w:eastAsia="Arial" w:hAnsi="Arial"/>
          <w:color w:val="1F1F1F"/>
          <w:sz w:val="22"/>
          <w:szCs w:val="22"/>
        </w:rPr>
        <w:t xml:space="preserve">El worker de recordatorios debe procesar los envíos en lotes de máximo 50 registros, con una pausa de 500 ms entre lotes, para evitar saturar la API de mensajería ante un volumen alto de mascotas registradas.</w:t>
      </w:r>
    </w:p>
    <w:p>
      <w:pPr>
        <w:pBdr>
          <w:left w:val="single" w:color="0B7285" w:sz="18" w:space="8"/>
        </w:pBdr>
        <w:spacing w:after="60" w:before="140"/>
        <w:ind w:left="200"/>
      </w:pPr>
      <w:r>
        <w:rPr>
          <w:rFonts w:ascii="Courier New" w:cs="Courier New" w:eastAsia="Courier New" w:hAnsi="Courier New"/>
          <w:b/>
          <w:bCs/>
          <w:color w:val="0B7285"/>
          <w:sz w:val="20"/>
          <w:szCs w:val="20"/>
        </w:rPr>
        <w:t xml:space="preserve">RNF-07</w:t>
      </w:r>
      <w:r>
        <w:rPr>
          <w:rFonts w:ascii="Arial" w:cs="Arial" w:eastAsia="Arial" w:hAnsi="Arial"/>
          <w:color w:val="888888"/>
          <w:sz w:val="20"/>
          <w:szCs w:val="20"/>
        </w:rPr>
        <w:t xml:space="preserve">  —  </w:t>
      </w:r>
      <w:r>
        <w:rPr>
          <w:rFonts w:ascii="Arial" w:cs="Arial" w:eastAsia="Arial" w:hAnsi="Arial"/>
          <w:b/>
          <w:bCs/>
          <w:color w:val="1F1F1F"/>
          <w:sz w:val="22"/>
          <w:szCs w:val="22"/>
        </w:rPr>
        <w:t xml:space="preserve">Aislamiento de datos entre microservicios</w:t>
      </w:r>
      <w:r>
        <w:rPr>
          <w:rFonts w:ascii="Arial" w:cs="Arial" w:eastAsia="Arial" w:hAnsi="Arial"/>
          <w:i/>
          <w:iCs/>
          <w:color w:val="888888"/>
          <w:sz w:val="20"/>
          <w:szCs w:val="20"/>
        </w:rPr>
        <w:t xml:space="preserve">    Prioridad: Alta</w:t>
      </w:r>
    </w:p>
    <w:p>
      <w:pPr>
        <w:spacing w:after="100"/>
        <w:ind w:left="200"/>
      </w:pPr>
      <w:r>
        <w:rPr>
          <w:rFonts w:ascii="Arial" w:cs="Arial" w:eastAsia="Arial" w:hAnsi="Arial"/>
          <w:color w:val="1F1F1F"/>
          <w:sz w:val="22"/>
          <w:szCs w:val="22"/>
        </w:rPr>
        <w:t xml:space="preserve">Cada microservicio debe acceder únicamente a su propia base de datos SQL Server. No deben existir foreign keys cruzadas entre bases de datos distintas. La consistencia entre servicios se garantiza mediante datos desnormalizados (snapshot al momento del registro).</w:t>
      </w:r>
    </w:p>
    <w:p>
      <w:pPr>
        <w:pStyle w:val="Heading1"/>
      </w:pPr>
      <w:r>
        <w:rPr>
          <w:rFonts w:ascii="Arial" w:cs="Arial" w:eastAsia="Arial" w:hAnsi="Arial"/>
          <w:b/>
          <w:bCs/>
          <w:color w:val="FFFFFF"/>
          <w:sz w:val="32"/>
          <w:szCs w:val="32"/>
        </w:rPr>
        <w:t xml:space="preserve">6. Requerimientos de restricción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613"/>
        <w:gridCol w:w="3613"/>
      </w:tblGrid>
      <w:tr>
        <w:trPr>
          <w:tblHeader/>
        </w:trPr>
        <w:tc>
          <w:tcPr>
            <w:tcW w:type="dxa" w:w="800"/>
            <w:tcBorders>
              <w:top w:val="single" w:color="BBBBBB" w:sz="1"/>
              <w:left w:val="single" w:color="BBBBBB" w:sz="1"/>
              <w:bottom w:val="single" w:color="BBBBBB" w:sz="1"/>
              <w:right w:val="single" w:color="BBBBBB" w:sz="1"/>
            </w:tcBorders>
            <w:shd w:fill="0B7285"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4613"/>
            <w:tcBorders>
              <w:top w:val="single" w:color="BBBBBB" w:sz="1"/>
              <w:left w:val="single" w:color="BBBBBB" w:sz="1"/>
              <w:bottom w:val="single" w:color="BBBBBB" w:sz="1"/>
              <w:right w:val="single" w:color="BBBBBB" w:sz="1"/>
            </w:tcBorders>
            <w:shd w:fill="0B7285"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Restricción</w:t>
            </w:r>
          </w:p>
        </w:tc>
        <w:tc>
          <w:tcPr>
            <w:tcW w:type="dxa" w:w="3613"/>
            <w:tcBorders>
              <w:top w:val="single" w:color="BBBBBB" w:sz="1"/>
              <w:left w:val="single" w:color="BBBBBB" w:sz="1"/>
              <w:bottom w:val="single" w:color="BBBBBB" w:sz="1"/>
              <w:right w:val="single" w:color="BBBBBB" w:sz="1"/>
            </w:tcBorders>
            <w:shd w:fill="0B7285" w:val="clear"/>
            <w:tcMar>
              <w:top w:type="dxa" w:w="100"/>
              <w:left w:type="dxa" w:w="140"/>
              <w:bottom w:type="dxa" w:w="100"/>
              <w:right w:type="dxa" w:w="140"/>
            </w:tcMar>
            <w:vAlign w:val="center"/>
          </w:tcPr>
          <w:p>
            <w:r>
              <w:rPr>
                <w:rFonts w:ascii="Arial" w:cs="Arial" w:eastAsia="Arial" w:hAnsi="Arial"/>
                <w:b/>
                <w:bCs/>
                <w:color w:val="FFFFFF"/>
                <w:sz w:val="20"/>
                <w:szCs w:val="20"/>
              </w:rPr>
              <w:t xml:space="preserve">Justificación</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RR-01</w:t>
            </w:r>
          </w:p>
        </w:tc>
        <w:tc>
          <w:tcPr>
            <w:tcW w:type="dxa" w:w="4613"/>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El backend debe implementarse en ASP.NET Core .NET 9. El frontend debe ser Blazor WebAssembly. La base de datos debe ser SQL Server.</w:t>
            </w:r>
          </w:p>
        </w:tc>
        <w:tc>
          <w:tcPr>
            <w:tcW w:type="dxa" w:w="3613"/>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Definido como requisito académico del trabajo de grado.</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RR-02</w:t>
            </w:r>
          </w:p>
        </w:tc>
        <w:tc>
          <w:tcPr>
            <w:tcW w:type="dxa" w:w="46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El sistema debe desplegarse en una máquina virtual en Oracle Cloud (ARM64) con acceso público mediante dominio propio y TLS gestionado por Cloudflare.</w:t>
            </w:r>
          </w:p>
        </w:tc>
        <w:tc>
          <w:tcPr>
            <w:tcW w:type="dxa" w:w="36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Infraestructura disponible sin costo adicional para el proyecto académico.</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RR-03</w:t>
            </w:r>
          </w:p>
        </w:tc>
        <w:tc>
          <w:tcPr>
            <w:tcW w:type="dxa" w:w="4613"/>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Las notificaciones por WhatsApp deben implementarse mediante Evolution API v2.3.7, alojada en el mismo entorno Docker. No se permite el uso de la API oficial de WhatsApp Business.</w:t>
            </w:r>
          </w:p>
        </w:tc>
        <w:tc>
          <w:tcPr>
            <w:tcW w:type="dxa" w:w="3613"/>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La API oficial tiene costos y requisitos de aprobación incompatibles con el contexto académico.</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RR-04</w:t>
            </w:r>
          </w:p>
        </w:tc>
        <w:tc>
          <w:tcPr>
            <w:tcW w:type="dxa" w:w="46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Las migraciones de base de datos deben aplicarse automáticamente al iniciar cada microservicio mediante EF Core MigrateAsync(). No se permiten scripts SQL manuales en producción.</w:t>
            </w:r>
          </w:p>
        </w:tc>
        <w:tc>
          <w:tcPr>
            <w:tcW w:type="dxa" w:w="36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Garantiza reproducibilidad del entorno y trazabilidad del esquema en el control de versiones.</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RR-05</w:t>
            </w:r>
          </w:p>
        </w:tc>
        <w:tc>
          <w:tcPr>
            <w:tcW w:type="dxa" w:w="4613"/>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El sistema no incluye módulos de facturación, cobros ni facturación electrónica.</w:t>
            </w:r>
          </w:p>
        </w:tc>
        <w:tc>
          <w:tcPr>
            <w:tcW w:type="dxa" w:w="3613"/>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Fuera del alcance definido para el proyecto de grado.</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RR-06</w:t>
            </w:r>
          </w:p>
        </w:tc>
        <w:tc>
          <w:tcPr>
            <w:tcW w:type="dxa" w:w="46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El despliegue debe realizarse exclusivamente mediante Docker Compose, sin orquestadores externos (Kubernetes, ECS, etc.).</w:t>
            </w:r>
          </w:p>
        </w:tc>
        <w:tc>
          <w:tcPr>
            <w:tcW w:type="dxa" w:w="36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La infraestructura disponible es una sola VM; la complejidad de orquestadores no está justificada a esta escala.</w:t>
            </w:r>
          </w:p>
        </w:tc>
      </w:tr>
    </w:tbl>
    <w:p>
      <w:pPr>
        <w:pStyle w:val="Heading1"/>
      </w:pPr>
      <w:r>
        <w:rPr>
          <w:rFonts w:ascii="Arial" w:cs="Arial" w:eastAsia="Arial" w:hAnsi="Arial"/>
          <w:b/>
          <w:bCs/>
          <w:color w:val="FFFFFF"/>
          <w:sz w:val="32"/>
          <w:szCs w:val="32"/>
        </w:rPr>
        <w:t xml:space="preserve">7. Casos de uso principales</w:t>
      </w:r>
    </w:p>
    <w:p>
      <w:pPr>
        <w:pStyle w:val="Heading2"/>
      </w:pPr>
      <w:r>
        <w:rPr>
          <w:rFonts w:ascii="Arial" w:cs="Arial" w:eastAsia="Arial" w:hAnsi="Arial"/>
          <w:b/>
          <w:bCs/>
          <w:color w:val="0B7285"/>
          <w:sz w:val="26"/>
          <w:szCs w:val="26"/>
        </w:rPr>
        <w:t xml:space="preserve">CU-01 · Agendar una cita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Actor principal</w:t>
            </w:r>
          </w:p>
        </w:tc>
        <w:tc>
          <w:tcPr>
            <w:tcW w:type="dxa" w:w="7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Propietario, Veterinario o Administrador</w:t>
            </w:r>
          </w:p>
        </w:tc>
      </w:tr>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Precondición</w:t>
            </w:r>
          </w:p>
        </w:tc>
        <w:tc>
          <w:tcPr>
            <w:tcW w:type="dxa" w:w="70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El usuario está autenticado. Existe al menos un veterinario activo con horario configurado.</w:t>
            </w:r>
          </w:p>
        </w:tc>
      </w:tr>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Flujo normal</w:t>
            </w:r>
          </w:p>
        </w:tc>
        <w:tc>
          <w:tcPr>
            <w:tcW w:type="dxa" w:w="7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1. El actor selecciona un veterinario.  2. Selecciona una fecha y una duración de consulta.  3. El sistema calcula y muestra los slots disponibles.  4. El actor selecciona un slot horario.  5. Selecciona la mascota a atender.  6. Confirma la cita.  7. El sistema registra la cita y envía confirmación por WhatsApp y correo.</w:t>
            </w:r>
          </w:p>
        </w:tc>
      </w:tr>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Flujo alternativo</w:t>
            </w:r>
          </w:p>
        </w:tc>
        <w:tc>
          <w:tcPr>
            <w:tcW w:type="dxa" w:w="70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Si no hay slots disponibles para la fecha seleccionada, el sistema informa al usuario y le permite elegir otra fecha.</w:t>
            </w:r>
          </w:p>
        </w:tc>
      </w:tr>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Postcondición</w:t>
            </w:r>
          </w:p>
        </w:tc>
        <w:tc>
          <w:tcPr>
            <w:tcW w:type="dxa" w:w="7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La cita queda en estado Scheduled y el propietario recibe notificación de confirmación.</w:t>
            </w:r>
          </w:p>
        </w:tc>
      </w:tr>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Requerimientos</w:t>
            </w:r>
          </w:p>
        </w:tc>
        <w:tc>
          <w:tcPr>
            <w:tcW w:type="dxa" w:w="70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RF-04.1, RF-04.2, RF-04.4</w:t>
            </w:r>
          </w:p>
        </w:tc>
      </w:tr>
    </w:tbl>
    <w:p>
      <w:pPr>
        <w:spacing w:after="120"/>
      </w:pPr>
    </w:p>
    <w:p>
      <w:pPr>
        <w:pStyle w:val="Heading2"/>
      </w:pPr>
      <w:r>
        <w:rPr>
          <w:rFonts w:ascii="Arial" w:cs="Arial" w:eastAsia="Arial" w:hAnsi="Arial"/>
          <w:b/>
          <w:bCs/>
          <w:color w:val="0B7285"/>
          <w:sz w:val="26"/>
          <w:szCs w:val="26"/>
        </w:rPr>
        <w:t xml:space="preserve">CU-02 · Registrar una vacuna aplicada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Actor principal</w:t>
            </w:r>
          </w:p>
        </w:tc>
        <w:tc>
          <w:tcPr>
            <w:tcW w:type="dxa" w:w="7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Veterinario o Administrador</w:t>
            </w:r>
          </w:p>
        </w:tc>
      </w:tr>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Precondición</w:t>
            </w:r>
          </w:p>
        </w:tc>
        <w:tc>
          <w:tcPr>
            <w:tcW w:type="dxa" w:w="70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Existe al menos una vacuna activa en el catálogo. El paciente está registrado en el sistema.</w:t>
            </w:r>
          </w:p>
        </w:tc>
      </w:tr>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Flujo normal</w:t>
            </w:r>
          </w:p>
        </w:tc>
        <w:tc>
          <w:tcPr>
            <w:tcW w:type="dxa" w:w="7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1. El veterinario accede a la ficha del paciente, pestaña Vacunas.  2. Selecciona la vacuna del catálogo y la fecha de aplicación.  3. Opcionalmente ingresa número de lote y notas clínicas.  4. El sistema calcula la fecha del próximo refuerzo según el esquema.  5. El veterinario puede ajustar la fecha calculada.  6. Confirma el registro.</w:t>
            </w:r>
          </w:p>
        </w:tc>
      </w:tr>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Flujo alternativo</w:t>
            </w:r>
          </w:p>
        </w:tc>
        <w:tc>
          <w:tcPr>
            <w:tcW w:type="dxa" w:w="70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Si la vacuna es de esquema MultiDose, el sistema asigna automáticamente el número de dosis correlativo.</w:t>
            </w:r>
          </w:p>
        </w:tc>
      </w:tr>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Postcondición</w:t>
            </w:r>
          </w:p>
        </w:tc>
        <w:tc>
          <w:tcPr>
            <w:tcW w:type="dxa" w:w="7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Queda registrada la dosis. A 7 y 2 días antes de la próxima fecha de refuerzo, el propietario recibirá recordatorios automáticos.</w:t>
            </w:r>
          </w:p>
        </w:tc>
      </w:tr>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Requerimientos</w:t>
            </w:r>
          </w:p>
        </w:tc>
        <w:tc>
          <w:tcPr>
            <w:tcW w:type="dxa" w:w="70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RF-06.1, RF-06.2, RF-07.2</w:t>
            </w:r>
          </w:p>
        </w:tc>
      </w:tr>
    </w:tbl>
    <w:p>
      <w:pPr>
        <w:spacing w:after="120"/>
      </w:pPr>
    </w:p>
    <w:p>
      <w:pPr>
        <w:pStyle w:val="Heading2"/>
      </w:pPr>
      <w:r>
        <w:rPr>
          <w:rFonts w:ascii="Arial" w:cs="Arial" w:eastAsia="Arial" w:hAnsi="Arial"/>
          <w:b/>
          <w:bCs/>
          <w:color w:val="0B7285"/>
          <w:sz w:val="26"/>
          <w:szCs w:val="26"/>
        </w:rPr>
        <w:t xml:space="preserve">CU-03 · Registrar la historia clínica de una consulta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Actor principal</w:t>
            </w:r>
          </w:p>
        </w:tc>
        <w:tc>
          <w:tcPr>
            <w:tcW w:type="dxa" w:w="7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Veterinario</w:t>
            </w:r>
          </w:p>
        </w:tc>
      </w:tr>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Precondición</w:t>
            </w:r>
          </w:p>
        </w:tc>
        <w:tc>
          <w:tcPr>
            <w:tcW w:type="dxa" w:w="70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El veterinario está autenticado. El paciente tiene una cita en estado Scheduled o es atendido sin cita previa.</w:t>
            </w:r>
          </w:p>
        </w:tc>
      </w:tr>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Flujo normal</w:t>
            </w:r>
          </w:p>
        </w:tc>
        <w:tc>
          <w:tcPr>
            <w:tcW w:type="dxa" w:w="7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1. El veterinario abre una bitácora de consulta para el paciente.  2. Durante la consulta registra anamnesis, signos vitales, diagnóstico y plan de tratamiento.  3. Al finalizar, cierra la bitácora (acción irreversible).  4. Opcionalmente crea un registro clínico formal con el resumen de la consulta.</w:t>
            </w:r>
          </w:p>
        </w:tc>
      </w:tr>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Flujo alternativo</w:t>
            </w:r>
          </w:p>
        </w:tc>
        <w:tc>
          <w:tcPr>
            <w:tcW w:type="dxa" w:w="70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Si intenta editar una bitácora ya cerrada, el sistema retorna error 400 Bad Request.</w:t>
            </w:r>
          </w:p>
        </w:tc>
      </w:tr>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Postcondición</w:t>
            </w:r>
          </w:p>
        </w:tc>
        <w:tc>
          <w:tcPr>
            <w:tcW w:type="dxa" w:w="7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La bitácora queda en estado Closed y es visible en el historial del paciente para el propietario (solo lectura) y para los veterinarios.</w:t>
            </w:r>
          </w:p>
        </w:tc>
      </w:tr>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Requerimientos</w:t>
            </w:r>
          </w:p>
        </w:tc>
        <w:tc>
          <w:tcPr>
            <w:tcW w:type="dxa" w:w="70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RF-03.1, RF-03.2, RF-03.3</w:t>
            </w:r>
          </w:p>
        </w:tc>
      </w:tr>
    </w:tbl>
    <w:p>
      <w:pPr>
        <w:spacing w:after="120"/>
      </w:pPr>
    </w:p>
    <w:p>
      <w:pPr>
        <w:pStyle w:val="Heading2"/>
      </w:pPr>
      <w:r>
        <w:rPr>
          <w:rFonts w:ascii="Arial" w:cs="Arial" w:eastAsia="Arial" w:hAnsi="Arial"/>
          <w:b/>
          <w:bCs/>
          <w:color w:val="0B7285"/>
          <w:sz w:val="26"/>
          <w:szCs w:val="26"/>
        </w:rPr>
        <w:t xml:space="preserve">CU-04 · Configurar la disponibilidad de un veterinario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Actor principal</w:t>
            </w:r>
          </w:p>
        </w:tc>
        <w:tc>
          <w:tcPr>
            <w:tcW w:type="dxa" w:w="7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Administrador</w:t>
            </w:r>
          </w:p>
        </w:tc>
      </w:tr>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Precondición</w:t>
            </w:r>
          </w:p>
        </w:tc>
        <w:tc>
          <w:tcPr>
            <w:tcW w:type="dxa" w:w="70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El veterinario está registrado y activo en el sistema. El horario global de la clínica está configurado.</w:t>
            </w:r>
          </w:p>
        </w:tc>
      </w:tr>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Flujo normal</w:t>
            </w:r>
          </w:p>
        </w:tc>
        <w:tc>
          <w:tcPr>
            <w:tcW w:type="dxa" w:w="7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1. El administrador accede al panel de gestión de horarios.  2. Selecciona el veterinario a configurar.  3. Define un horario personalizado para un día específico de la semana.  4. Registra ausencias por rango de fechas, indicando si son de día completo o parciales.</w:t>
            </w:r>
          </w:p>
        </w:tc>
      </w:tr>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Flujo alternativo</w:t>
            </w:r>
          </w:p>
        </w:tc>
        <w:tc>
          <w:tcPr>
            <w:tcW w:type="dxa" w:w="70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w:t>
            </w:r>
          </w:p>
        </w:tc>
      </w:tr>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Postcondición</w:t>
            </w:r>
          </w:p>
        </w:tc>
        <w:tc>
          <w:tcPr>
            <w:tcW w:type="dxa" w:w="7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Los cambios impactan de inmediato el cálculo de disponibilidad para el agendamiento de nuevas citas.</w:t>
            </w:r>
          </w:p>
        </w:tc>
      </w:tr>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Requerimientos</w:t>
            </w:r>
          </w:p>
        </w:tc>
        <w:tc>
          <w:tcPr>
            <w:tcW w:type="dxa" w:w="70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RF-05.1, RF-05.2, RF-05.3</w:t>
            </w:r>
          </w:p>
        </w:tc>
      </w:tr>
    </w:tbl>
    <w:p>
      <w:pPr>
        <w:spacing w:after="120"/>
      </w:pPr>
    </w:p>
    <w:p>
      <w:pPr>
        <w:pStyle w:val="Heading2"/>
      </w:pPr>
      <w:r>
        <w:rPr>
          <w:rFonts w:ascii="Arial" w:cs="Arial" w:eastAsia="Arial" w:hAnsi="Arial"/>
          <w:b/>
          <w:bCs/>
          <w:color w:val="0B7285"/>
          <w:sz w:val="26"/>
          <w:szCs w:val="26"/>
        </w:rPr>
        <w:t xml:space="preserve">CU-05 · Gestionar el catálogo de vacunas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Actor principal</w:t>
            </w:r>
          </w:p>
        </w:tc>
        <w:tc>
          <w:tcPr>
            <w:tcW w:type="dxa" w:w="7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Administrador</w:t>
            </w:r>
          </w:p>
        </w:tc>
      </w:tr>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Precondición</w:t>
            </w:r>
          </w:p>
        </w:tc>
        <w:tc>
          <w:tcPr>
            <w:tcW w:type="dxa" w:w="70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El administrador está autenticado.</w:t>
            </w:r>
          </w:p>
        </w:tc>
      </w:tr>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Flujo normal</w:t>
            </w:r>
          </w:p>
        </w:tc>
        <w:tc>
          <w:tcPr>
            <w:tcW w:type="dxa" w:w="7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1. El administrador accede al catálogo de vacunas.  2. Crea una nueva vacuna seleccionando el esquema (SingleDose, MultiDose o Annual).  3. Para MultiDose, configura los intervalos en días entre cada dosis.  4. Para Annual, configura el intervalo en meses.  5. Activa o desactiva vacunas existentes según necesidad.</w:t>
            </w:r>
          </w:p>
        </w:tc>
      </w:tr>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Flujo alternativo</w:t>
            </w:r>
          </w:p>
        </w:tc>
        <w:tc>
          <w:tcPr>
            <w:tcW w:type="dxa" w:w="70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w:t>
            </w:r>
          </w:p>
        </w:tc>
      </w:tr>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Postcondición</w:t>
            </w:r>
          </w:p>
        </w:tc>
        <w:tc>
          <w:tcPr>
            <w:tcW w:type="dxa" w:w="7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Las vacunas activas quedan disponibles para el registro de vacunación de cualquier paciente.</w:t>
            </w:r>
          </w:p>
        </w:tc>
      </w:tr>
      <w:tr>
        <w:tc>
          <w:tcPr>
            <w:tcW w:type="dxa" w:w="2000"/>
            <w:tcBorders>
              <w:top w:val="single" w:color="BBBBBB" w:sz="1"/>
              <w:left w:val="single" w:color="BBBBBB" w:sz="1"/>
              <w:bottom w:val="single" w:color="BBBBBB" w:sz="1"/>
              <w:right w:val="single" w:color="BBBBBB" w:sz="1"/>
            </w:tcBorders>
            <w:shd w:fill="D6EFF3" w:val="clear"/>
            <w:tcMar>
              <w:top w:type="dxa" w:w="80"/>
              <w:left w:type="dxa" w:w="140"/>
              <w:bottom w:type="dxa" w:w="80"/>
              <w:right w:type="dxa" w:w="140"/>
            </w:tcMar>
          </w:tcPr>
          <w:p>
            <w:r>
              <w:rPr>
                <w:rFonts w:ascii="Arial" w:cs="Arial" w:eastAsia="Arial" w:hAnsi="Arial"/>
                <w:b/>
                <w:bCs/>
                <w:color w:val="0B4F6C"/>
                <w:sz w:val="20"/>
                <w:szCs w:val="20"/>
              </w:rPr>
              <w:t xml:space="preserve">Requerimientos</w:t>
            </w:r>
          </w:p>
        </w:tc>
        <w:tc>
          <w:tcPr>
            <w:tcW w:type="dxa" w:w="70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RF-06.1</w:t>
            </w:r>
          </w:p>
        </w:tc>
      </w:tr>
    </w:tbl>
    <w:p>
      <w:pPr>
        <w:spacing w:after="120"/>
      </w:pPr>
    </w:p>
    <w:p>
      <w:pPr>
        <w:pStyle w:val="Heading1"/>
      </w:pPr>
      <w:r>
        <w:rPr>
          <w:rFonts w:ascii="Arial" w:cs="Arial" w:eastAsia="Arial" w:hAnsi="Arial"/>
          <w:b/>
          <w:bCs/>
          <w:color w:val="FFFFFF"/>
          <w:sz w:val="32"/>
          <w:szCs w:val="32"/>
        </w:rPr>
        <w:t xml:space="preserve">8. Matriz de trazabilidad</w:t>
      </w:r>
    </w:p>
    <w:p>
      <w:pPr>
        <w:spacing w:after="120" w:before="0"/>
      </w:pPr>
      <w:r>
        <w:rPr>
          <w:rFonts w:ascii="Arial" w:cs="Arial" w:eastAsia="Arial" w:hAnsi="Arial"/>
          <w:color w:val="1F1F1F"/>
          <w:sz w:val="22"/>
          <w:szCs w:val="22"/>
        </w:rPr>
        <w:t xml:space="preserve">La siguiente tabla relaciona cada requerimiento con el módulo del sistema, el microservicio que lo implementa y su estado de implementación.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2200"/>
        <w:gridCol w:w="1026"/>
      </w:tblGrid>
      <w:tr>
        <w:trPr>
          <w:tblHeader/>
        </w:trPr>
        <w:tc>
          <w:tcPr>
            <w:tcW w:type="dxa" w:w="1600"/>
            <w:tcBorders>
              <w:top w:val="single" w:color="BBBBBB" w:sz="1"/>
              <w:left w:val="single" w:color="BBBBBB" w:sz="1"/>
              <w:bottom w:val="single" w:color="BBBBBB" w:sz="1"/>
              <w:right w:val="single" w:color="BBBBBB" w:sz="1"/>
            </w:tcBorders>
            <w:shd w:fill="0B7285"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2400"/>
            <w:tcBorders>
              <w:top w:val="single" w:color="BBBBBB" w:sz="1"/>
              <w:left w:val="single" w:color="BBBBBB" w:sz="1"/>
              <w:bottom w:val="single" w:color="BBBBBB" w:sz="1"/>
              <w:right w:val="single" w:color="BBBBBB" w:sz="1"/>
            </w:tcBorders>
            <w:shd w:fill="0B7285"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Descripción</w:t>
            </w:r>
          </w:p>
        </w:tc>
        <w:tc>
          <w:tcPr>
            <w:tcW w:type="dxa" w:w="1800"/>
            <w:tcBorders>
              <w:top w:val="single" w:color="BBBBBB" w:sz="1"/>
              <w:left w:val="single" w:color="BBBBBB" w:sz="1"/>
              <w:bottom w:val="single" w:color="BBBBBB" w:sz="1"/>
              <w:right w:val="single" w:color="BBBBBB" w:sz="1"/>
            </w:tcBorders>
            <w:shd w:fill="0B7285" w:val="clear"/>
            <w:tcMar>
              <w:top w:type="dxa" w:w="100"/>
              <w:left w:type="dxa" w:w="140"/>
              <w:bottom w:type="dxa" w:w="100"/>
              <w:right w:type="dxa" w:w="140"/>
            </w:tcMar>
            <w:vAlign w:val="center"/>
          </w:tcPr>
          <w:p>
            <w:r>
              <w:rPr>
                <w:rFonts w:ascii="Arial" w:cs="Arial" w:eastAsia="Arial" w:hAnsi="Arial"/>
                <w:b/>
                <w:bCs/>
                <w:color w:val="FFFFFF"/>
                <w:sz w:val="20"/>
                <w:szCs w:val="20"/>
              </w:rPr>
              <w:t xml:space="preserve">Módulo</w:t>
            </w:r>
          </w:p>
        </w:tc>
        <w:tc>
          <w:tcPr>
            <w:tcW w:type="dxa" w:w="2200"/>
            <w:tcBorders>
              <w:top w:val="single" w:color="BBBBBB" w:sz="1"/>
              <w:left w:val="single" w:color="BBBBBB" w:sz="1"/>
              <w:bottom w:val="single" w:color="BBBBBB" w:sz="1"/>
              <w:right w:val="single" w:color="BBBBBB" w:sz="1"/>
            </w:tcBorders>
            <w:shd w:fill="0B7285" w:val="clear"/>
            <w:tcMar>
              <w:top w:type="dxa" w:w="100"/>
              <w:left w:type="dxa" w:w="140"/>
              <w:bottom w:type="dxa" w:w="100"/>
              <w:right w:type="dxa" w:w="140"/>
            </w:tcMar>
            <w:vAlign w:val="center"/>
          </w:tcPr>
          <w:p>
            <w:r>
              <w:rPr>
                <w:rFonts w:ascii="Arial" w:cs="Arial" w:eastAsia="Arial" w:hAnsi="Arial"/>
                <w:b/>
                <w:bCs/>
                <w:color w:val="FFFFFF"/>
                <w:sz w:val="20"/>
                <w:szCs w:val="20"/>
              </w:rPr>
              <w:t xml:space="preserve">Microservicio</w:t>
            </w:r>
          </w:p>
        </w:tc>
        <w:tc>
          <w:tcPr>
            <w:tcW w:type="dxa" w:w="1026"/>
            <w:tcBorders>
              <w:top w:val="single" w:color="BBBBBB" w:sz="1"/>
              <w:left w:val="single" w:color="BBBBBB" w:sz="1"/>
              <w:bottom w:val="single" w:color="BBBBBB" w:sz="1"/>
              <w:right w:val="single" w:color="BBBBBB" w:sz="1"/>
            </w:tcBorders>
            <w:shd w:fill="0B7285" w:val="clear"/>
            <w:tcMar>
              <w:top w:type="dxa" w:w="100"/>
              <w:left w:type="dxa" w:w="140"/>
              <w:bottom w:type="dxa" w:w="100"/>
              <w:right w:type="dxa" w:w="140"/>
            </w:tcMar>
            <w:vAlign w:val="center"/>
          </w:tcPr>
          <w:p>
            <w:r>
              <w:rPr>
                <w:rFonts w:ascii="Arial" w:cs="Arial" w:eastAsia="Arial" w:hAnsi="Arial"/>
                <w:b/>
                <w:bCs/>
                <w:color w:val="FFFFFF"/>
                <w:sz w:val="20"/>
                <w:szCs w:val="20"/>
              </w:rPr>
              <w:t xml:space="preserve">Estado</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RF-01.1 – RF-01.4</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Autenticación y usuarios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Acceso y seguridad</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auth-service</w:t>
            </w:r>
          </w:p>
        </w:tc>
        <w:tc>
          <w:tcPr>
            <w:tcW w:type="dxa" w:w="10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Implementado ✓</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RF-02.1 – RF-02.4</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Gestión de pacientes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Pacientes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patients-service</w:t>
            </w:r>
          </w:p>
        </w:tc>
        <w:tc>
          <w:tcPr>
            <w:tcW w:type="dxa" w:w="1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Implementado ✓</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RF-03.1 – RF-03.3</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Historia clínica</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Historia clínica</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patients-service</w:t>
            </w:r>
          </w:p>
        </w:tc>
        <w:tc>
          <w:tcPr>
            <w:tcW w:type="dxa" w:w="10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Implementado ✓</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RF-04.1 – RF-04.4</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Agendamiento de citas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Citas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appointments-service</w:t>
            </w:r>
          </w:p>
        </w:tc>
        <w:tc>
          <w:tcPr>
            <w:tcW w:type="dxa" w:w="1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Implementado ✓</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RF-05.1 – RF-05.3</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Horarios y ausencias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Disponibilidad</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appointments-service</w:t>
            </w:r>
          </w:p>
        </w:tc>
        <w:tc>
          <w:tcPr>
            <w:tcW w:type="dxa" w:w="10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Implementado ✓</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RF-06.1 – RF-06.3</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Control de vacunación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Vacunación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patients-service</w:t>
            </w:r>
          </w:p>
        </w:tc>
        <w:tc>
          <w:tcPr>
            <w:tcW w:type="dxa" w:w="1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Implementado ✓</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RF-07.1 – RF-07.3</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Notificaciones automáticas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Notificaciones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notifications-service</w:t>
            </w:r>
          </w:p>
        </w:tc>
        <w:tc>
          <w:tcPr>
            <w:tcW w:type="dxa" w:w="10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Implementado ✓</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RNF-01 – RNF-07</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Reqs. no funcionales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Transversal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Todos los servicios</w:t>
            </w:r>
          </w:p>
        </w:tc>
        <w:tc>
          <w:tcPr>
            <w:tcW w:type="dxa" w:w="1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F1F1F"/>
                <w:sz w:val="20"/>
                <w:szCs w:val="20"/>
              </w:rPr>
              <w:t xml:space="preserve">Implementado ✓</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RR-01 – RR-06</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Restricciones de diseño</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Infraestructura</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Docker Compose</w:t>
            </w:r>
          </w:p>
        </w:tc>
        <w:tc>
          <w:tcPr>
            <w:tcW w:type="dxa" w:w="10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F1F1F"/>
                <w:sz w:val="20"/>
                <w:szCs w:val="20"/>
              </w:rPr>
              <w:t xml:space="preserve">Implementado ✓</w:t>
            </w:r>
          </w:p>
        </w:tc>
      </w:tr>
    </w:tbl>
    <w:p>
      <w:pPr>
        <w:spacing w:after="160"/>
      </w:pPr>
    </w:p>
    <w:p>
      <w:pPr>
        <w:pBdr>
          <w:left w:val="single" w:color="0B7285" w:sz="18" w:space="8"/>
        </w:pBdr>
        <w:spacing w:after="0"/>
        <w:ind w:left="200"/>
      </w:pPr>
      <w:r>
        <w:rPr>
          <w:rFonts w:ascii="Arial" w:cs="Arial" w:eastAsia="Arial" w:hAnsi="Arial"/>
          <w:b/>
          <w:bCs/>
          <w:color w:val="0B7285"/>
          <w:sz w:val="20"/>
          <w:szCs w:val="20"/>
        </w:rPr>
        <w:t xml:space="preserve">Nota sobre cobertura de pruebas: </w:t>
      </w:r>
    </w:p>
    <w:p>
      <w:pPr>
        <w:pBdr>
          <w:left w:val="single" w:color="0B7285" w:sz="18" w:space="8"/>
        </w:pBdr>
        <w:spacing w:after="0"/>
        <w:ind w:left="200"/>
      </w:pPr>
      <w:r>
        <w:rPr>
          <w:rFonts w:ascii="Arial" w:cs="Arial" w:eastAsia="Arial" w:hAnsi="Arial"/>
          <w:color w:val="1F1F1F"/>
          <w:sz w:val="20"/>
          <w:szCs w:val="20"/>
        </w:rPr>
        <w:t xml:space="preserve">Todos los requerimientos funcionales cuentan con cobertura de pruebas de integración automatizadas. El sistema cuenta con 180 tests distribuidos en los cuatro microservicios (51 auth-service, 58 patients-service, 44 appointments-service, 27 notifications-service), con una tasa de éxito del 100% al cierre de la Fase 6.</w:t>
      </w:r>
    </w:p>
    <w:sectPr>
      <w:footerReference w:type="default" r:id="rId7"/>
      <w:pgSz w:w="11906" w:h="16838" w:orient="portrait"/>
      <w:pgMar w:top="1440" w:right="1440" w:bottom="18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VetSystem — Levantamiento de Requerimientos v1.0  |  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0B7285" w:val="clear"/>
      <w:spacing w:after="200" w:before="0"/>
      <w:ind w:left="200"/>
      <w:outlineLvl w:val="0"/>
    </w:pPr>
    <w:rPr>
      <w:rFonts w:ascii="Arial" w:cs="Arial" w:eastAsia="Arial" w:hAnsi="Arial"/>
      <w:b/>
      <w:bCs/>
      <w:color w:val="FFFFFF"/>
      <w:sz w:val="32"/>
      <w:szCs w:val="32"/>
    </w:rPr>
  </w:style>
  <w:style w:type="paragraph" w:styleId="Heading2">
    <w:name w:val="Heading 2"/>
    <w:basedOn w:val="Normal"/>
    <w:next w:val="Normal"/>
    <w:qFormat/>
    <w:pPr>
      <w:pBdr>
        <w:bottom w:val="single" w:color="0B7285" w:sz="6" w:space="2"/>
      </w:pBdr>
      <w:spacing w:after="120" w:before="280"/>
      <w:outlineLvl w:val="1"/>
    </w:pPr>
    <w:rPr>
      <w:rFonts w:ascii="Arial" w:cs="Arial" w:eastAsia="Arial" w:hAnsi="Arial"/>
      <w:b/>
      <w:bCs/>
      <w:color w:val="0B728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4E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2026-06-25T01:08:42.706Z</dcterms:created>
  <dcterms:modified xsi:type="dcterms:W3CDTF">2026-06-25T01:08:42.708Z</dcterms:modified>
</cp:coreProperties>
</file>

<file path=docProps/custom.xml><?xml version="1.0" encoding="utf-8"?>
<Properties xmlns="http://schemas.openxmlformats.org/officeDocument/2006/custom-properties" xmlns:vt="http://schemas.openxmlformats.org/officeDocument/2006/docPropsVTypes"/>
</file>