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Descripción funcional</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BPO de puede dividir en dos fases:</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que se ejecuta en nuestro servidor cada 5 minutos conectando con el servicio web de GrupoBC para hacer la descarga de nuevos documentos* y a su vez enviar la información de documentos procesados. En todos los casos se almacenan las trazas en una BBDD, especificando nombre del documento, su tipo y la fecha/hora de la acción (descarga/subida a GrupoBC). Ver Fig. 1. Cuando se envía la información a GrupoBC se obtiene “Grabación correcta” en caso de éxito, de lo contrario se captura el error y se envía al responsable del BPO, luego se realizan las modificaciones necesarias y se envía la información nuevamente. Ver Fig. 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903073" cy="32016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03073" cy="32016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Proceso BPO.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428255" cy="36160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8255" cy="36160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Diagrama de flujo.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que permite definir la información que se extrae de los diferentes tipos de documentos y generar el respectivo XML. Estos documentos XMLs son enviados vía FTP a nuestro servidor y luego la aplicación descrita en el punto 1 consulta la información de estos archivos XMLs y realiza el envío a GrupoBC. Ver Fig. 1. *: Los tipos de documentos son: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Notas simples</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Nómina</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Recibo</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Vida laboral</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IRPF</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Tasación</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KO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sz w:val="24"/>
          <w:szCs w:val="24"/>
          <w:rtl w:val="0"/>
        </w:rPr>
        <w:t xml:space="preserve"> De momento solo se están procesado documentos tipo Nómina, IRPF y Vida Laboral.</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Descripción técnica</w:t>
      </w:r>
    </w:p>
    <w:p w:rsidR="00000000" w:rsidDel="00000000" w:rsidP="00000000" w:rsidRDefault="00000000" w:rsidRPr="00000000" w14:paraId="0000002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ind w:left="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Aplicación  SincronizarRepoGrupoBCWS</w:t>
      </w:r>
    </w:p>
    <w:p w:rsidR="00000000" w:rsidDel="00000000" w:rsidP="00000000" w:rsidRDefault="00000000" w:rsidRPr="00000000" w14:paraId="00000023">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desarrollada en Java que se ejecuta en un servidor Linux de TECH ID como proceso de fondo cada 5 minutos para realizar la sincronización (descarga/subida) de información hacia el servidor de GrupoBC. Se implementa un </w:t>
      </w:r>
      <w:r w:rsidDel="00000000" w:rsidR="00000000" w:rsidRPr="00000000">
        <w:rPr>
          <w:rFonts w:ascii="Arial" w:cs="Arial" w:eastAsia="Arial" w:hAnsi="Arial"/>
          <w:b w:val="1"/>
          <w:sz w:val="24"/>
          <w:szCs w:val="24"/>
          <w:rtl w:val="0"/>
        </w:rPr>
        <w:t xml:space="preserve">Web Service Client</w:t>
      </w:r>
      <w:r w:rsidDel="00000000" w:rsidR="00000000" w:rsidRPr="00000000">
        <w:rPr>
          <w:rFonts w:ascii="Arial" w:cs="Arial" w:eastAsia="Arial" w:hAnsi="Arial"/>
          <w:sz w:val="24"/>
          <w:szCs w:val="24"/>
          <w:rtl w:val="0"/>
        </w:rPr>
        <w:t xml:space="preserve"> que conecta con el servicio web de GrupoBC para consultar y enviar información.</w:t>
      </w:r>
    </w:p>
    <w:p w:rsidR="00000000" w:rsidDel="00000000" w:rsidP="00000000" w:rsidRDefault="00000000" w:rsidRPr="00000000" w14:paraId="00000024">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URL WS: </w:t>
      </w:r>
      <w:hyperlink r:id="rId8">
        <w:r w:rsidDel="00000000" w:rsidR="00000000" w:rsidRPr="00000000">
          <w:rPr>
            <w:rFonts w:ascii="Arial" w:cs="Arial" w:eastAsia="Arial" w:hAnsi="Arial"/>
            <w:color w:val="0563c1"/>
            <w:sz w:val="24"/>
            <w:szCs w:val="24"/>
            <w:u w:val="single"/>
            <w:rtl w:val="0"/>
          </w:rPr>
          <w:t xml:space="preserve">https://webservices.grupobc.com/webserviceocr/ocrreceiver.svc</w:t>
        </w:r>
      </w:hyperlink>
      <w:r w:rsidDel="00000000" w:rsidR="00000000" w:rsidRPr="00000000">
        <w:rPr>
          <w:rtl w:val="0"/>
        </w:rPr>
      </w:r>
    </w:p>
    <w:p w:rsidR="00000000" w:rsidDel="00000000" w:rsidP="00000000" w:rsidRDefault="00000000" w:rsidRPr="00000000" w14:paraId="00000025">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envía a los usuarios BPO notificaciones vía correo sobre la existencia de nuevos documentos a procesar, así mismo cuando se suben documentos se notifica de tal hecho a la persona que dirige el proceso de BPO.</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Nota: </w:t>
      </w:r>
      <w:r w:rsidDel="00000000" w:rsidR="00000000" w:rsidRPr="00000000">
        <w:rPr>
          <w:rFonts w:ascii="Arial" w:cs="Arial" w:eastAsia="Arial" w:hAnsi="Arial"/>
          <w:sz w:val="24"/>
          <w:szCs w:val="24"/>
          <w:rtl w:val="0"/>
        </w:rPr>
        <w:t xml:space="preserve">La aplicación utiliza un fichero de configuración donde se describen las configuraciones para conectarse al FTP para subir o descargas documentos. Este fichero con el nombre “</w:t>
      </w:r>
      <w:r w:rsidDel="00000000" w:rsidR="00000000" w:rsidRPr="00000000">
        <w:rPr>
          <w:rFonts w:ascii="Arial" w:cs="Arial" w:eastAsia="Arial" w:hAnsi="Arial"/>
          <w:b w:val="1"/>
          <w:sz w:val="24"/>
          <w:szCs w:val="24"/>
          <w:rtl w:val="0"/>
        </w:rPr>
        <w:t xml:space="preserve">configFtp_WS.properties”</w:t>
      </w:r>
      <w:r w:rsidDel="00000000" w:rsidR="00000000" w:rsidRPr="00000000">
        <w:rPr>
          <w:rFonts w:ascii="Arial" w:cs="Arial" w:eastAsia="Arial" w:hAnsi="Arial"/>
          <w:sz w:val="24"/>
          <w:szCs w:val="24"/>
          <w:rtl w:val="0"/>
        </w:rPr>
        <w:t xml:space="preserve"> se encuentra en una carpeta llamada  </w:t>
      </w:r>
      <w:r w:rsidDel="00000000" w:rsidR="00000000" w:rsidRPr="00000000">
        <w:rPr>
          <w:rFonts w:ascii="Arial" w:cs="Arial" w:eastAsia="Arial" w:hAnsi="Arial"/>
          <w:b w:val="1"/>
          <w:sz w:val="24"/>
          <w:szCs w:val="24"/>
          <w:rtl w:val="0"/>
        </w:rPr>
        <w:t xml:space="preserve">“conf”.</w:t>
      </w:r>
      <w:r w:rsidDel="00000000" w:rsidR="00000000" w:rsidRPr="00000000">
        <w:rPr>
          <w:rFonts w:ascii="Arial" w:cs="Arial" w:eastAsia="Arial" w:hAnsi="Arial"/>
          <w:sz w:val="24"/>
          <w:szCs w:val="24"/>
          <w:rtl w:val="0"/>
        </w:rPr>
        <w:t xml:space="preserve"> Esta carpeta tiene que estar al mismo nivel del “.jar”. Ver Fig. 3.</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drawing>
          <wp:inline distB="0" distT="0" distL="0" distR="0">
            <wp:extent cx="2190750" cy="6667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90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Estructura de carpeta.</w:t>
      </w:r>
    </w:p>
    <w:p w:rsidR="00000000" w:rsidDel="00000000" w:rsidP="00000000" w:rsidRDefault="00000000" w:rsidRPr="00000000" w14:paraId="0000002A">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ind w:left="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Aplicación ExtraccionDatosBPOAdmin</w:t>
      </w:r>
    </w:p>
    <w:p w:rsidR="00000000" w:rsidDel="00000000" w:rsidP="00000000" w:rsidRDefault="00000000" w:rsidRPr="00000000" w14:paraId="0000002C">
      <w:p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desarrollada en Java para procesar la información de los archivos descargados de GrupoBC.</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utiliza un fichero de configuración donde se describen las configuraciones para conectarse al FTP para subir o descargas documentos. Este fichero con el nombre “</w:t>
      </w:r>
      <w:r w:rsidDel="00000000" w:rsidR="00000000" w:rsidRPr="00000000">
        <w:rPr>
          <w:rFonts w:ascii="Arial" w:cs="Arial" w:eastAsia="Arial" w:hAnsi="Arial"/>
          <w:b w:val="1"/>
          <w:sz w:val="24"/>
          <w:szCs w:val="24"/>
          <w:rtl w:val="0"/>
        </w:rPr>
        <w:t xml:space="preserve">configFtp.properties”</w:t>
      </w:r>
      <w:r w:rsidDel="00000000" w:rsidR="00000000" w:rsidRPr="00000000">
        <w:rPr>
          <w:rFonts w:ascii="Arial" w:cs="Arial" w:eastAsia="Arial" w:hAnsi="Arial"/>
          <w:sz w:val="24"/>
          <w:szCs w:val="24"/>
          <w:rtl w:val="0"/>
        </w:rPr>
        <w:t xml:space="preserve"> se encuentra en una carpeta llamada  </w:t>
      </w:r>
      <w:r w:rsidDel="00000000" w:rsidR="00000000" w:rsidRPr="00000000">
        <w:rPr>
          <w:rFonts w:ascii="Arial" w:cs="Arial" w:eastAsia="Arial" w:hAnsi="Arial"/>
          <w:b w:val="1"/>
          <w:sz w:val="24"/>
          <w:szCs w:val="24"/>
          <w:rtl w:val="0"/>
        </w:rPr>
        <w:t xml:space="preserve">“conf”.</w:t>
      </w:r>
      <w:r w:rsidDel="00000000" w:rsidR="00000000" w:rsidRPr="00000000">
        <w:rPr>
          <w:rFonts w:ascii="Arial" w:cs="Arial" w:eastAsia="Arial" w:hAnsi="Arial"/>
          <w:sz w:val="24"/>
          <w:szCs w:val="24"/>
          <w:rtl w:val="0"/>
        </w:rPr>
        <w:t xml:space="preserve"> Esta carpeta tiene que estar al mismo nivel del “.jar”. Ver Fig. 4.</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drawing>
          <wp:inline distB="0" distT="0" distL="0" distR="0">
            <wp:extent cx="2314575" cy="6477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145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1"/>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Estructura de carpeta.</w:t>
      </w:r>
    </w:p>
    <w:p w:rsidR="00000000" w:rsidDel="00000000" w:rsidP="00000000" w:rsidRDefault="00000000" w:rsidRPr="00000000" w14:paraId="00000031">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para procesar documentos IRPF</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7220333" cy="433440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220333" cy="433440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para procesar nóminas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7226836" cy="4318766"/>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226836" cy="43187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para procesar vidas laborales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876929" cy="40829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76929" cy="4082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para procesar documentos KO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7172866" cy="4253618"/>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172866" cy="425361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21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Descarga de documentos y subida de XMLs con la información procesada por el usuario BPO.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ind w:left="36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Incidencias</w:t>
      </w:r>
    </w:p>
    <w:p w:rsidR="00000000" w:rsidDel="00000000" w:rsidP="00000000" w:rsidRDefault="00000000" w:rsidRPr="00000000" w14:paraId="00000055">
      <w:pPr>
        <w:tabs>
          <w:tab w:val="left" w:pos="1725"/>
        </w:tabs>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DEVOLUCIÓN DE  DOCUMENTOS COMO KO</w:t>
      </w:r>
    </w:p>
    <w:p w:rsidR="00000000" w:rsidDel="00000000" w:rsidP="00000000" w:rsidRDefault="00000000" w:rsidRPr="00000000" w14:paraId="00000056">
      <w:pPr>
        <w:tabs>
          <w:tab w:val="left" w:pos="1725"/>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tabs>
          <w:tab w:val="left" w:pos="1725"/>
        </w:tabs>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objetivo del trabajo realizado es que todos los documentos sean procesados devolviendo al cliente los datos solicitados según el tipo de documento, pero en ocasiones  nos encontramos con unas circunstancias que detallamos a continuación que nos obligan a devolver algunos documentos como KO.</w:t>
      </w:r>
    </w:p>
    <w:p w:rsidR="00000000" w:rsidDel="00000000" w:rsidP="00000000" w:rsidRDefault="00000000" w:rsidRPr="00000000" w14:paraId="00000058">
      <w:pPr>
        <w:tabs>
          <w:tab w:val="left" w:pos="1725"/>
        </w:tabs>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ILEGIBLES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tabs>
          <w:tab w:val="left" w:pos="1725"/>
        </w:tabs>
        <w:spacing w:after="0" w:line="240" w:lineRule="auto"/>
        <w:ind w:left="709"/>
        <w:jc w:val="both"/>
        <w:rPr>
          <w:rFonts w:ascii="Arial" w:cs="Arial" w:eastAsia="Arial" w:hAnsi="Arial"/>
          <w:color w:val="000000"/>
        </w:rPr>
      </w:pPr>
      <w:r w:rsidDel="00000000" w:rsidR="00000000" w:rsidRPr="00000000">
        <w:rPr>
          <w:rFonts w:ascii="Arial" w:cs="Arial" w:eastAsia="Arial" w:hAnsi="Arial"/>
          <w:color w:val="000000"/>
          <w:rtl w:val="0"/>
        </w:rPr>
        <w:t xml:space="preserve">Nos encontramos con algunos documentos con extensión .octet-stream que no conseguimos abrir. En estos casos probamos a abrirlos con las extensiones .doc, .pdf, .jpg, .gif, .jpeg, .ppt. En ocasiones conseguimos abrir el documento y se puede procesar correctamente, pero en otros casos no conseguimos abrirlo y tenemos que devolverlo como Documento KO.</w:t>
      </w:r>
    </w:p>
    <w:p w:rsidR="00000000" w:rsidDel="00000000" w:rsidP="00000000" w:rsidRDefault="00000000" w:rsidRPr="00000000" w14:paraId="0000005C">
      <w:pPr>
        <w:tabs>
          <w:tab w:val="left" w:pos="1725"/>
        </w:tabs>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QUE NO COINCIDEN CON TIPOLOGÍA DOCUMENTAL EN LA QUE SE HAN CLASIFICADO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pos="1725"/>
        </w:tabs>
        <w:spacing w:after="0" w:line="240" w:lineRule="auto"/>
        <w:ind w:left="709"/>
        <w:jc w:val="both"/>
        <w:rPr>
          <w:rFonts w:ascii="Arial" w:cs="Arial" w:eastAsia="Arial" w:hAnsi="Arial"/>
          <w:color w:val="000000"/>
        </w:rPr>
      </w:pPr>
      <w:r w:rsidDel="00000000" w:rsidR="00000000" w:rsidRPr="00000000">
        <w:rPr>
          <w:rFonts w:ascii="Arial" w:cs="Arial" w:eastAsia="Arial" w:hAnsi="Arial"/>
          <w:color w:val="000000"/>
          <w:rtl w:val="0"/>
        </w:rPr>
        <w:t xml:space="preserve">El documento recibido está clasificado en una tipología que no es la correcta. </w:t>
      </w:r>
    </w:p>
    <w:p w:rsidR="00000000" w:rsidDel="00000000" w:rsidP="00000000" w:rsidRDefault="00000000" w:rsidRPr="00000000" w14:paraId="00000060">
      <w:pPr>
        <w:tabs>
          <w:tab w:val="left" w:pos="1725"/>
        </w:tabs>
        <w:spacing w:after="0" w:line="240" w:lineRule="auto"/>
        <w:ind w:left="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INCORRECTO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tabs>
          <w:tab w:val="left" w:pos="1725"/>
        </w:tabs>
        <w:spacing w:after="0" w:line="240" w:lineRule="auto"/>
        <w:ind w:left="709"/>
        <w:jc w:val="both"/>
        <w:rPr>
          <w:rFonts w:ascii="Arial" w:cs="Arial" w:eastAsia="Arial" w:hAnsi="Arial"/>
          <w:color w:val="000000"/>
        </w:rPr>
      </w:pPr>
      <w:r w:rsidDel="00000000" w:rsidR="00000000" w:rsidRPr="00000000">
        <w:rPr>
          <w:rFonts w:ascii="Arial" w:cs="Arial" w:eastAsia="Arial" w:hAnsi="Arial"/>
          <w:color w:val="000000"/>
          <w:rtl w:val="0"/>
        </w:rPr>
        <w:t xml:space="preserve">Se reciben documentos que no contienen la información solicitada, concretamos algunos ejemplos:</w:t>
      </w:r>
    </w:p>
    <w:p w:rsidR="00000000" w:rsidDel="00000000" w:rsidP="00000000" w:rsidRDefault="00000000" w:rsidRPr="00000000" w14:paraId="00000064">
      <w:pPr>
        <w:tabs>
          <w:tab w:val="left" w:pos="1725"/>
        </w:tabs>
        <w:spacing w:after="0" w:line="240" w:lineRule="auto"/>
        <w:ind w:left="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funcionario de carrera.</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Certificados de aportaciones a la Seguridad Social por parte de la empresa.</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Contrato de trabajo.</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cobro de pensión.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ERRORES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725"/>
        </w:tabs>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pos="1725"/>
        </w:tabs>
        <w:spacing w:after="0" w:line="240" w:lineRule="auto"/>
        <w:ind w:left="709"/>
        <w:jc w:val="both"/>
        <w:rPr>
          <w:rFonts w:ascii="Arial" w:cs="Arial" w:eastAsia="Arial" w:hAnsi="Arial"/>
          <w:color w:val="000000"/>
        </w:rPr>
      </w:pPr>
      <w:r w:rsidDel="00000000" w:rsidR="00000000" w:rsidRPr="00000000">
        <w:rPr>
          <w:rFonts w:ascii="Arial" w:cs="Arial" w:eastAsia="Arial" w:hAnsi="Arial"/>
          <w:color w:val="000000"/>
          <w:rtl w:val="0"/>
        </w:rPr>
        <w:t xml:space="preserve">Clasificamos los documentos en este tipo de error cuando siendo correcto el documento a nivel general hay alguna característica que no nos permite recabar toda la información relevante.</w:t>
      </w:r>
    </w:p>
    <w:p w:rsidR="00000000" w:rsidDel="00000000" w:rsidP="00000000" w:rsidRDefault="00000000" w:rsidRPr="00000000" w14:paraId="0000006D">
      <w:pPr>
        <w:tabs>
          <w:tab w:val="left" w:pos="1725"/>
        </w:tabs>
        <w:spacing w:after="0" w:line="240" w:lineRule="auto"/>
        <w:ind w:left="709"/>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10.999999999999943"/>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las vidas laborales: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25"/>
        </w:tabs>
        <w:spacing w:after="0" w:before="0" w:line="240" w:lineRule="auto"/>
        <w:ind w:left="1713"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envían todas las páginas.</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725"/>
        </w:tabs>
        <w:spacing w:after="0" w:before="0" w:line="240" w:lineRule="auto"/>
        <w:ind w:left="1713"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envía un informe integrado que no incluye ninguna referencia electrónica.</w:t>
      </w:r>
    </w:p>
    <w:p w:rsidR="00000000" w:rsidDel="00000000" w:rsidP="00000000" w:rsidRDefault="00000000" w:rsidRPr="00000000" w14:paraId="00000072">
      <w:pPr>
        <w:tabs>
          <w:tab w:val="left" w:pos="1725"/>
        </w:tabs>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tabs>
          <w:tab w:val="left" w:pos="1725"/>
        </w:tabs>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NÚMERO DE INCIDENCIAS POR MES</w:t>
      </w:r>
    </w:p>
    <w:p w:rsidR="00000000" w:rsidDel="00000000" w:rsidP="00000000" w:rsidRDefault="00000000" w:rsidRPr="00000000" w14:paraId="00000074">
      <w:pPr>
        <w:tabs>
          <w:tab w:val="left" w:pos="1725"/>
        </w:tabs>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tabs>
          <w:tab w:val="left" w:pos="1725"/>
        </w:tabs>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siguiente tabla recoge el resumen de los documentos devueltos como KO durante estos primeros meses en producción:</w:t>
      </w:r>
    </w:p>
    <w:p w:rsidR="00000000" w:rsidDel="00000000" w:rsidP="00000000" w:rsidRDefault="00000000" w:rsidRPr="00000000" w14:paraId="00000076">
      <w:pPr>
        <w:tabs>
          <w:tab w:val="left" w:pos="1725"/>
        </w:tabs>
        <w:spacing w:after="0" w:line="240" w:lineRule="auto"/>
        <w:rPr>
          <w:rFonts w:ascii="Arial" w:cs="Arial" w:eastAsia="Arial" w:hAnsi="Arial"/>
          <w:color w:val="000000"/>
        </w:rPr>
      </w:pPr>
      <w:r w:rsidDel="00000000" w:rsidR="00000000" w:rsidRPr="00000000">
        <w:rPr>
          <w:rtl w:val="0"/>
        </w:rPr>
      </w:r>
    </w:p>
    <w:tbl>
      <w:tblPr>
        <w:tblStyle w:val="Table1"/>
        <w:tblW w:w="8720.0" w:type="dxa"/>
        <w:jc w:val="left"/>
        <w:tblInd w:w="0.0" w:type="dxa"/>
        <w:tblBorders>
          <w:top w:color="5b9bd5" w:space="0" w:sz="8" w:val="single"/>
          <w:left w:color="5b9bd5" w:space="0" w:sz="8" w:val="single"/>
          <w:bottom w:color="5b9bd5" w:space="0" w:sz="8" w:val="single"/>
          <w:right w:color="5b9bd5" w:space="0" w:sz="8" w:val="single"/>
          <w:insideH w:color="5b9bd5" w:space="0" w:sz="8" w:val="single"/>
          <w:insideV w:color="5b9bd5" w:space="0" w:sz="8" w:val="single"/>
        </w:tblBorders>
        <w:tblLayout w:type="fixed"/>
        <w:tblLook w:val="04A0"/>
      </w:tblPr>
      <w:tblGrid>
        <w:gridCol w:w="2257"/>
        <w:gridCol w:w="3141"/>
        <w:gridCol w:w="1400"/>
        <w:gridCol w:w="1922"/>
        <w:tblGridChange w:id="0">
          <w:tblGrid>
            <w:gridCol w:w="2257"/>
            <w:gridCol w:w="3141"/>
            <w:gridCol w:w="1400"/>
            <w:gridCol w:w="1922"/>
          </w:tblGrid>
        </w:tblGridChange>
      </w:tblGrid>
      <w:tr>
        <w:trPr>
          <w:trHeight w:val="616" w:hRule="atLeast"/>
        </w:trPr>
        <w:tc>
          <w:tcPr>
            <w:vMerge w:val="restart"/>
          </w:tcPr>
          <w:p w:rsidR="00000000" w:rsidDel="00000000" w:rsidP="00000000" w:rsidRDefault="00000000" w:rsidRPr="00000000" w14:paraId="00000077">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jc w:val="center"/>
              <w:rPr>
                <w:rFonts w:ascii="Arial" w:cs="Arial" w:eastAsia="Arial" w:hAnsi="Arial"/>
                <w:color w:val="000000"/>
              </w:rPr>
            </w:pPr>
            <w:r w:rsidDel="00000000" w:rsidR="00000000" w:rsidRPr="00000000">
              <w:rPr>
                <w:rFonts w:ascii="Arial" w:cs="Arial" w:eastAsia="Arial" w:hAnsi="Arial"/>
                <w:color w:val="000000"/>
                <w:rtl w:val="0"/>
              </w:rPr>
              <w:t xml:space="preserve">MES</w:t>
            </w:r>
          </w:p>
        </w:tc>
        <w:tc>
          <w:tcPr>
            <w:vMerge w:val="restart"/>
          </w:tcPr>
          <w:p w:rsidR="00000000" w:rsidDel="00000000" w:rsidP="00000000" w:rsidRDefault="00000000" w:rsidRPr="00000000" w14:paraId="00000079">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DOCUMENTOS RECIBIDOS</w:t>
            </w:r>
          </w:p>
        </w:tc>
        <w:tc>
          <w:tcPr>
            <w:gridSpan w:val="2"/>
          </w:tcPr>
          <w:p w:rsidR="00000000" w:rsidDel="00000000" w:rsidP="00000000" w:rsidRDefault="00000000" w:rsidRPr="00000000" w14:paraId="0000007B">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jc w:val="center"/>
              <w:rPr>
                <w:rFonts w:ascii="Arial" w:cs="Arial" w:eastAsia="Arial" w:hAnsi="Arial"/>
                <w:color w:val="000000"/>
              </w:rPr>
            </w:pPr>
            <w:r w:rsidDel="00000000" w:rsidR="00000000" w:rsidRPr="00000000">
              <w:rPr>
                <w:rFonts w:ascii="Arial" w:cs="Arial" w:eastAsia="Arial" w:hAnsi="Arial"/>
                <w:color w:val="000000"/>
                <w:rtl w:val="0"/>
              </w:rPr>
              <w:t xml:space="preserve">DOCUMENTOS KO</w:t>
            </w:r>
          </w:p>
        </w:tc>
      </w:tr>
      <w:tr>
        <w:trPr>
          <w:trHeight w:val="300" w:hRule="atLeast"/>
        </w:trPr>
        <w:tc>
          <w:tcPr>
            <w:vMerge w:val="continue"/>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Merge w:val="continue"/>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80">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Nº</w:t>
            </w:r>
          </w:p>
        </w:tc>
        <w:tc>
          <w:tcPr/>
          <w:p w:rsidR="00000000" w:rsidDel="00000000" w:rsidP="00000000" w:rsidRDefault="00000000" w:rsidRPr="00000000" w14:paraId="00000081">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w:t>
            </w:r>
          </w:p>
        </w:tc>
      </w:tr>
      <w:tr>
        <w:trPr>
          <w:trHeight w:val="300" w:hRule="atLeast"/>
        </w:trPr>
        <w:tc>
          <w:tcPr/>
          <w:p w:rsidR="00000000" w:rsidDel="00000000" w:rsidP="00000000" w:rsidRDefault="00000000" w:rsidRPr="00000000" w14:paraId="00000082">
            <w:pPr>
              <w:jc w:val="left"/>
              <w:rPr>
                <w:rFonts w:ascii="Arial" w:cs="Arial" w:eastAsia="Arial" w:hAnsi="Arial"/>
                <w:color w:val="000000"/>
              </w:rPr>
            </w:pPr>
            <w:r w:rsidDel="00000000" w:rsidR="00000000" w:rsidRPr="00000000">
              <w:rPr>
                <w:rFonts w:ascii="Arial" w:cs="Arial" w:eastAsia="Arial" w:hAnsi="Arial"/>
                <w:color w:val="000000"/>
                <w:rtl w:val="0"/>
              </w:rPr>
              <w:t xml:space="preserve">Noviembre</w:t>
            </w:r>
          </w:p>
        </w:tc>
        <w:tc>
          <w:tcPr/>
          <w:p w:rsidR="00000000" w:rsidDel="00000000" w:rsidP="00000000" w:rsidRDefault="00000000" w:rsidRPr="00000000" w14:paraId="0000008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219</w:t>
            </w:r>
          </w:p>
        </w:tc>
        <w:tc>
          <w:tcPr/>
          <w:p w:rsidR="00000000" w:rsidDel="00000000" w:rsidP="00000000" w:rsidRDefault="00000000" w:rsidRPr="00000000" w14:paraId="0000008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w:t>
            </w:r>
          </w:p>
        </w:tc>
        <w:tc>
          <w:tcPr/>
          <w:p w:rsidR="00000000" w:rsidDel="00000000" w:rsidP="00000000" w:rsidRDefault="00000000" w:rsidRPr="00000000" w14:paraId="0000008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8,22%</w:t>
            </w:r>
          </w:p>
        </w:tc>
      </w:tr>
      <w:tr>
        <w:trPr>
          <w:trHeight w:val="300" w:hRule="atLeast"/>
        </w:trPr>
        <w:tc>
          <w:tcPr/>
          <w:p w:rsidR="00000000" w:rsidDel="00000000" w:rsidP="00000000" w:rsidRDefault="00000000" w:rsidRPr="00000000" w14:paraId="00000086">
            <w:pPr>
              <w:jc w:val="left"/>
              <w:rPr>
                <w:rFonts w:ascii="Arial" w:cs="Arial" w:eastAsia="Arial" w:hAnsi="Arial"/>
                <w:color w:val="000000"/>
              </w:rPr>
            </w:pPr>
            <w:r w:rsidDel="00000000" w:rsidR="00000000" w:rsidRPr="00000000">
              <w:rPr>
                <w:rFonts w:ascii="Arial" w:cs="Arial" w:eastAsia="Arial" w:hAnsi="Arial"/>
                <w:color w:val="000000"/>
                <w:rtl w:val="0"/>
              </w:rPr>
              <w:t xml:space="preserve">Diciembre</w:t>
            </w:r>
          </w:p>
        </w:tc>
        <w:tc>
          <w:tcPr/>
          <w:p w:rsidR="00000000" w:rsidDel="00000000" w:rsidP="00000000" w:rsidRDefault="00000000" w:rsidRPr="00000000" w14:paraId="0000008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574</w:t>
            </w:r>
          </w:p>
        </w:tc>
        <w:tc>
          <w:tcPr/>
          <w:p w:rsidR="00000000" w:rsidDel="00000000" w:rsidP="00000000" w:rsidRDefault="00000000" w:rsidRPr="00000000" w14:paraId="0000008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65</w:t>
            </w:r>
          </w:p>
        </w:tc>
        <w:tc>
          <w:tcPr/>
          <w:p w:rsidR="00000000" w:rsidDel="00000000" w:rsidP="00000000" w:rsidRDefault="00000000" w:rsidRPr="00000000" w14:paraId="0000008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11,32%</w:t>
            </w:r>
          </w:p>
        </w:tc>
      </w:tr>
      <w:tr>
        <w:trPr>
          <w:trHeight w:val="855" w:hRule="atLeast"/>
        </w:trPr>
        <w:tc>
          <w:tcPr/>
          <w:p w:rsidR="00000000" w:rsidDel="00000000" w:rsidP="00000000" w:rsidRDefault="00000000" w:rsidRPr="00000000" w14:paraId="0000008A">
            <w:pPr>
              <w:jc w:val="left"/>
              <w:rPr>
                <w:rFonts w:ascii="Arial" w:cs="Arial" w:eastAsia="Arial" w:hAnsi="Arial"/>
                <w:color w:val="000000"/>
              </w:rPr>
            </w:pPr>
            <w:r w:rsidDel="00000000" w:rsidR="00000000" w:rsidRPr="00000000">
              <w:rPr>
                <w:rFonts w:ascii="Arial" w:cs="Arial" w:eastAsia="Arial" w:hAnsi="Arial"/>
                <w:color w:val="000000"/>
                <w:rtl w:val="0"/>
              </w:rPr>
              <w:t xml:space="preserve">Enero </w:t>
            </w:r>
          </w:p>
          <w:p w:rsidR="00000000" w:rsidDel="00000000" w:rsidP="00000000" w:rsidRDefault="00000000" w:rsidRPr="00000000" w14:paraId="0000008B">
            <w:pPr>
              <w:jc w:val="left"/>
              <w:rPr>
                <w:rFonts w:ascii="Arial" w:cs="Arial" w:eastAsia="Arial" w:hAnsi="Arial"/>
                <w:color w:val="000000"/>
              </w:rPr>
            </w:pPr>
            <w:r w:rsidDel="00000000" w:rsidR="00000000" w:rsidRPr="00000000">
              <w:rPr>
                <w:rFonts w:ascii="Arial" w:cs="Arial" w:eastAsia="Arial" w:hAnsi="Arial"/>
                <w:color w:val="000000"/>
                <w:rtl w:val="0"/>
              </w:rPr>
              <w:t xml:space="preserve">hasta 11/01/2018</w:t>
            </w:r>
          </w:p>
        </w:tc>
        <w:tc>
          <w:tcPr/>
          <w:p w:rsidR="00000000" w:rsidDel="00000000" w:rsidP="00000000" w:rsidRDefault="00000000" w:rsidRPr="00000000" w14:paraId="0000008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233</w:t>
            </w:r>
          </w:p>
        </w:tc>
        <w:tc>
          <w:tcPr/>
          <w:p w:rsidR="00000000" w:rsidDel="00000000" w:rsidP="00000000" w:rsidRDefault="00000000" w:rsidRPr="00000000" w14:paraId="0000008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8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3,86%</w:t>
            </w:r>
          </w:p>
        </w:tc>
      </w:tr>
      <w:tr>
        <w:trPr>
          <w:trHeight w:val="300" w:hRule="atLeast"/>
        </w:trPr>
        <w:tc>
          <w:tcPr/>
          <w:p w:rsidR="00000000" w:rsidDel="00000000" w:rsidP="00000000" w:rsidRDefault="00000000" w:rsidRPr="00000000" w14:paraId="0000008F">
            <w:pPr>
              <w:jc w:val="left"/>
              <w:rPr>
                <w:rFonts w:ascii="Arial" w:cs="Arial" w:eastAsia="Arial" w:hAnsi="Arial"/>
                <w:color w:val="000000"/>
              </w:rPr>
            </w:pPr>
            <w:r w:rsidDel="00000000" w:rsidR="00000000" w:rsidRPr="00000000">
              <w:rPr>
                <w:rFonts w:ascii="Arial" w:cs="Arial" w:eastAsia="Arial" w:hAnsi="Arial"/>
                <w:color w:val="000000"/>
                <w:rtl w:val="0"/>
              </w:rPr>
              <w:t xml:space="preserve">TOTAL</w:t>
            </w:r>
          </w:p>
        </w:tc>
        <w:tc>
          <w:tcPr/>
          <w:p w:rsidR="00000000" w:rsidDel="00000000" w:rsidP="00000000" w:rsidRDefault="00000000" w:rsidRPr="00000000" w14:paraId="0000009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1026</w:t>
            </w:r>
          </w:p>
        </w:tc>
        <w:tc>
          <w:tcPr/>
          <w:p w:rsidR="00000000" w:rsidDel="00000000" w:rsidP="00000000" w:rsidRDefault="00000000" w:rsidRPr="00000000" w14:paraId="0000009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92</w:t>
            </w:r>
          </w:p>
        </w:tc>
        <w:tc>
          <w:tcPr/>
          <w:p w:rsidR="00000000" w:rsidDel="00000000" w:rsidP="00000000" w:rsidRDefault="00000000" w:rsidRPr="00000000" w14:paraId="0000009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8,96%</w:t>
            </w:r>
          </w:p>
        </w:tc>
      </w:tr>
    </w:tbl>
    <w:p w:rsidR="00000000" w:rsidDel="00000000" w:rsidP="00000000" w:rsidRDefault="00000000" w:rsidRPr="00000000" w14:paraId="00000093">
      <w:pPr>
        <w:rPr>
          <w:rFonts w:ascii="Arial" w:cs="Arial" w:eastAsia="Arial" w:hAnsi="Arial"/>
          <w:b w:val="1"/>
          <w:sz w:val="24"/>
          <w:szCs w:val="24"/>
        </w:rPr>
      </w:pPr>
      <w:r w:rsidDel="00000000" w:rsidR="00000000" w:rsidRPr="00000000">
        <w:rPr>
          <w:rtl w:val="0"/>
        </w:rPr>
      </w:r>
    </w:p>
    <w:sectPr>
      <w:pgSz w:h="16838" w:w="11906"/>
      <w:pgMar w:bottom="993" w:top="42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360" w:lineRule="auto"/>
      <w:jc w:val="both"/>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tblPr>
      <w:tblStyleRowBandSize w:val="1"/>
      <w:tblStyleColBandSize w:val="1"/>
      <w:tblCellMar>
        <w:top w:w="0.0" w:type="dxa"/>
        <w:left w:w="108.0" w:type="dxa"/>
        <w:bottom w:w="0.0" w:type="dxa"/>
        <w:right w:w="108.0" w:type="dxa"/>
      </w:tblCellMar>
    </w:tblPr>
    <w:tblStylePr w:type="band1Horz">
      <w:tcPr>
        <w:tcBorders>
          <w:top w:color="5b9bd5" w:space="0" w:sz="8" w:val="single"/>
          <w:left w:color="5b9bd5" w:space="0" w:sz="8" w:val="single"/>
          <w:bottom w:color="5b9bd5" w:space="0" w:sz="8" w:val="single"/>
          <w:right w:color="5b9bd5" w:space="0" w:sz="8" w:val="single"/>
          <w:insideV w:color="5b9bd5" w:space="0" w:sz="8" w:val="single"/>
        </w:tcBorders>
        <w:shd w:fill="d6e6f4" w:val="clear"/>
      </w:tcPr>
    </w:tblStylePr>
    <w:tblStylePr w:type="band1Vert">
      <w:tcPr>
        <w:tcBorders>
          <w:top w:color="5b9bd5" w:space="0" w:sz="8" w:val="single"/>
          <w:left w:color="5b9bd5" w:space="0" w:sz="8" w:val="single"/>
          <w:bottom w:color="5b9bd5" w:space="0" w:sz="8" w:val="single"/>
          <w:right w:color="5b9bd5" w:space="0" w:sz="8" w:val="single"/>
        </w:tcBorders>
        <w:shd w:fill="d6e6f4" w:val="clear"/>
      </w:tcPr>
    </w:tblStylePr>
    <w:tblStylePr w:type="band2Horz">
      <w:tcPr>
        <w:tcBorders>
          <w:top w:color="5b9bd5" w:space="0" w:sz="8" w:val="single"/>
          <w:left w:color="5b9bd5" w:space="0" w:sz="8" w:val="single"/>
          <w:bottom w:color="5b9bd5" w:space="0" w:sz="8" w:val="single"/>
          <w:right w:color="5b9bd5" w:space="0" w:sz="8" w:val="single"/>
          <w:insideV w:color="5b9bd5"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5b9bd5" w:space="0" w:sz="8" w:val="single"/>
          <w:left w:color="5b9bd5" w:space="0" w:sz="8" w:val="single"/>
          <w:bottom w:color="5b9bd5" w:space="0" w:sz="18" w:val="single"/>
          <w:right w:color="5b9bd5" w:space="0" w:sz="8" w:val="single"/>
          <w:insideH w:color="000000" w:space="0" w:sz="0" w:val="nil"/>
          <w:insideV w:color="5b9bd5" w:space="0" w:sz="8" w:val="single"/>
        </w:tcBorders>
      </w:tcPr>
    </w:tblStylePr>
    <w:tblStylePr w:type="lastCol">
      <w:rPr>
        <w:rFonts w:ascii="Calibri" w:cs="Calibri" w:eastAsia="Calibri" w:hAnsi="Calibri"/>
        <w:b w:val="1"/>
      </w:rPr>
      <w:tcPr>
        <w:tcBorders>
          <w:top w:color="5b9bd5" w:space="0" w:sz="8" w:val="single"/>
          <w:left w:color="5b9bd5" w:space="0" w:sz="8" w:val="single"/>
          <w:bottom w:color="5b9bd5" w:space="0" w:sz="8" w:val="single"/>
          <w:right w:color="5b9bd5" w:space="0" w:sz="8" w:val="single"/>
        </w:tcBorders>
      </w:tcPr>
    </w:tblStylePr>
    <w:tblStylePr w:type="lastRow">
      <w:pPr>
        <w:spacing w:after="0" w:before="0" w:line="240" w:lineRule="auto"/>
      </w:pPr>
      <w:rPr>
        <w:rFonts w:ascii="Calibri" w:cs="Calibri" w:eastAsia="Calibri" w:hAnsi="Calibri"/>
        <w:b w:val="1"/>
      </w:rPr>
      <w:tcPr>
        <w:tcBorders>
          <w:top w:color="5b9bd5" w:space="0" w:sz="6" w:val="single"/>
          <w:left w:color="5b9bd5" w:space="0" w:sz="8" w:val="single"/>
          <w:bottom w:color="5b9bd5" w:space="0" w:sz="8" w:val="single"/>
          <w:right w:color="5b9bd5" w:space="0" w:sz="8" w:val="single"/>
          <w:insideH w:color="000000" w:space="0" w:sz="0" w:val="nil"/>
          <w:insideV w:color="5b9bd5"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ebservices.grupobc.com/webserviceocr/ocrreceiver.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