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TRACESCOPE</w:t>
      </w:r>
    </w:p>
    <w:p>
      <w:pPr>
        <w:pStyle w:val="Subtitle"/>
      </w:pPr>
      <w:r>
        <w:t>User manual &amp; engineer walkthrough</w:t>
      </w:r>
    </w:p>
    <w:p>
      <w:r>
        <w:t>A practical guide to importing, reading, and explaining mobile network user traces.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</w:tcPr>
          <w:p>
            <w:r>
              <w:t>SCOPE  This guide describes the current local TraceScope implementation. Distinguish fields observed in the file from protocol interpretations and topology links inferred from standards.</w:t>
            </w:r>
          </w:p>
        </w:tc>
      </w:tr>
    </w:tbl>
    <w:p>
      <w:r>
        <w:br w:type="page"/>
      </w:r>
    </w:p>
    <w:p>
      <w:pPr>
        <w:pStyle w:val="Heading1"/>
      </w:pPr>
      <w:r>
        <w:t>1. Project description</w:t>
      </w:r>
    </w:p>
    <w:p>
      <w:r>
        <w:t>TraceScope is a browser-based analysis workbench for Huawei LMT user-trace exports and supported text traces. It organizes records into a searchable timeline, call-flow sequence, technology-aware infrastructure route, and message inspector with telecom context.</w:t>
      </w:r>
    </w:p>
    <w:p>
      <w:pPr>
        <w:pStyle w:val="Heading2"/>
      </w:pPr>
      <w:r>
        <w:t>Who it is for</w:t>
      </w:r>
    </w:p>
    <w:p>
      <w:pPr>
        <w:pStyle w:val="ListBullet"/>
      </w:pPr>
      <w:r>
        <w:t>Core-network and mobile-access engineers reviewing paging, mobility, service, and session signaling.</w:t>
      </w:r>
    </w:p>
    <w:p>
      <w:pPr>
        <w:pStyle w:val="ListBullet"/>
      </w:pPr>
      <w:r>
        <w:t>Operations/support teams preparing evidence-backed trace summaries.</w:t>
      </w:r>
    </w:p>
    <w:p>
      <w:pPr>
        <w:pStyle w:val="ListBullet"/>
      </w:pPr>
      <w:r>
        <w:t>Telecom learners who need message and network-component context.</w:t>
      </w:r>
    </w:p>
    <w:p>
      <w:pPr>
        <w:pStyle w:val="Heading2"/>
      </w:pPr>
      <w:r>
        <w:t>Main capabilities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173C45"/>
          </w:tcPr>
          <w:p>
            <w:r>
              <w:rPr>
                <w:b/>
                <w:color w:val="FFFFFF"/>
              </w:rPr>
              <w:t>Area</w:t>
            </w:r>
          </w:p>
        </w:tc>
        <w:tc>
          <w:tcPr>
            <w:tcW w:type="dxa" w:w="4968"/>
            <w:shd w:fill="173C45"/>
          </w:tcPr>
          <w:p>
            <w:r>
              <w:rPr>
                <w:b/>
                <w:color w:val="FFFFFF"/>
              </w:rPr>
              <w:t>Purpose</w:t>
            </w:r>
          </w:p>
        </w:tc>
      </w:tr>
      <w:tr>
        <w:tc>
          <w:tcPr>
            <w:tcW w:type="dxa" w:w="4968"/>
          </w:tcPr>
          <w:p>
            <w:r>
              <w:t>Trace import</w:t>
            </w:r>
          </w:p>
        </w:tc>
        <w:tc>
          <w:tcPr>
            <w:tcW w:type="dxa" w:w="4968"/>
          </w:tcPr>
          <w:p>
            <w:r>
              <w:t>Parse PTMF record structures and supported text/log rows in the browser.</w:t>
            </w:r>
          </w:p>
        </w:tc>
      </w:tr>
      <w:tr>
        <w:tc>
          <w:tcPr>
            <w:tcW w:type="dxa" w:w="4968"/>
          </w:tcPr>
          <w:p>
            <w:r>
              <w:t>Timeline &amp; inspector</w:t>
            </w:r>
          </w:p>
        </w:tc>
        <w:tc>
          <w:tcPr>
            <w:tcW w:type="dxa" w:w="4968"/>
          </w:tcPr>
          <w:p>
            <w:r>
              <w:t>Review time, position, message fields, decoded direction when available, payload length, and bytes.</w:t>
            </w:r>
          </w:p>
        </w:tc>
      </w:tr>
      <w:tr>
        <w:tc>
          <w:tcPr>
            <w:tcW w:type="dxa" w:w="4968"/>
          </w:tcPr>
          <w:p>
            <w:r>
              <w:t>Call flow</w:t>
            </w:r>
          </w:p>
        </w:tc>
        <w:tc>
          <w:tcPr>
            <w:tcW w:type="dxa" w:w="4968"/>
          </w:tcPr>
          <w:p>
            <w:r>
              <w:t>Show records against participant lanes; arrows appear only when endpoints are decoded.</w:t>
            </w:r>
          </w:p>
        </w:tc>
      </w:tr>
      <w:tr>
        <w:tc>
          <w:tcPr>
            <w:tcW w:type="dxa" w:w="4968"/>
          </w:tcPr>
          <w:p>
            <w:r>
              <w:t>Network path</w:t>
            </w:r>
          </w:p>
        </w:tc>
        <w:tc>
          <w:tcPr>
            <w:tcW w:type="dxa" w:w="4968"/>
          </w:tcPr>
          <w:p>
            <w:r>
              <w:t>Vendor-neutral 2G/3G/4G/5G reference topology with detected-technology selection and record stepping.</w:t>
            </w:r>
          </w:p>
        </w:tc>
      </w:tr>
      <w:tr>
        <w:tc>
          <w:tcPr>
            <w:tcW w:type="dxa" w:w="4968"/>
          </w:tcPr>
          <w:p>
            <w:r>
              <w:t>Telecom knowledge</w:t>
            </w:r>
          </w:p>
        </w:tc>
        <w:tc>
          <w:tcPr>
            <w:tcW w:type="dxa" w:w="4968"/>
          </w:tcPr>
          <w:p>
            <w:r>
              <w:t>Plain-language message descriptions, interpretation basis, and 3GPP catalogue links.</w:t>
            </w:r>
          </w:p>
        </w:tc>
      </w:tr>
      <w:tr>
        <w:tc>
          <w:tcPr>
            <w:tcW w:type="dxa" w:w="4968"/>
          </w:tcPr>
          <w:p>
            <w:r>
              <w:t>Assistant</w:t>
            </w:r>
          </w:p>
        </w:tc>
        <w:tc>
          <w:tcPr>
            <w:tcW w:type="dxa" w:w="4968"/>
          </w:tcPr>
          <w:p>
            <w:r>
              <w:t>Text/voice questions via NVIDIA GLM-5.3; answers can cite records.</w:t>
            </w:r>
          </w:p>
        </w:tc>
      </w:tr>
      <w:tr>
        <w:tc>
          <w:tcPr>
            <w:tcW w:type="dxa" w:w="4968"/>
          </w:tcPr>
          <w:p>
            <w:r>
              <w:t>Research &amp; audit</w:t>
            </w:r>
          </w:p>
        </w:tc>
        <w:tc>
          <w:tcPr>
            <w:tcW w:type="dxa" w:w="4968"/>
          </w:tcPr>
          <w:p>
            <w:r>
              <w:t>Tavily searches, browser-local references, Activities and Why/decisions views.</w:t>
            </w:r>
          </w:p>
        </w:tc>
      </w:tr>
      <w:tr>
        <w:tc>
          <w:tcPr>
            <w:tcW w:type="dxa" w:w="4968"/>
          </w:tcPr>
          <w:p>
            <w:r>
              <w:t>Export</w:t>
            </w:r>
          </w:p>
        </w:tc>
        <w:tc>
          <w:tcPr>
            <w:tcW w:type="dxa" w:w="4968"/>
          </w:tcPr>
          <w:p>
            <w:r>
              <w:t>Trace analysis and audit JSON downloads.</w:t>
            </w:r>
          </w:p>
        </w:tc>
      </w:tr>
    </w:tbl>
    <w:p>
      <w:pPr>
        <w:pStyle w:val="Heading1"/>
      </w:pPr>
      <w:r>
        <w:t>2. Start TraceScope</w:t>
      </w:r>
    </w:p>
    <w:p>
      <w:pPr>
        <w:pStyle w:val="ListNumber"/>
      </w:pPr>
      <w:r>
        <w:t>Open the project folder in a terminal.</w:t>
      </w:r>
    </w:p>
    <w:p>
      <w:pPr>
        <w:pStyle w:val="ListNumber"/>
      </w:pPr>
      <w:r>
        <w:t>Start the local Node.js server with `node server.mjs`.</w:t>
      </w:r>
    </w:p>
    <w:p>
      <w:pPr>
        <w:pStyle w:val="ListNumber"/>
      </w:pPr>
      <w:r>
        <w:t>Open http://127.0.0.1:4173/ in a supported browser.</w:t>
      </w:r>
    </w:p>
    <w:p>
      <w:pPr>
        <w:pStyle w:val="ListNumber"/>
      </w:pPr>
      <w:r>
        <w:t>For AI and web research, set NVIDIA_API_KEY and TAVILY_API_KEY in the ignored .env.local file, then restart the server. Never put credentials in browser code.</w:t>
      </w:r>
    </w:p>
    <w:p>
      <w:r>
        <w:t>The browser parses the chosen trace. The local Node server serves the interface and proxies external API calls. TraceScope is bound to loopback for the local development workflow.</w:t>
      </w:r>
    </w:p>
    <w:p>
      <w:pPr>
        <w:pStyle w:val="Heading2"/>
      </w:pPr>
      <w:r>
        <w:t>Data handling</w:t>
      </w:r>
    </w:p>
    <w:p>
      <w:r>
        <w:t>Each non-command assistant question can send the question and a compact set of relevant trace fields to NVIDIA. Subscriber identifiers are omitted unless explicitly requested; raw payload bytes are excluded. Tavily is called only when a user submits a search. Audit entries and saved research documents remain in the current browser profile. Follow organizational trace-handling policy.</w:t>
      </w:r>
    </w:p>
    <w:p>
      <w:pPr>
        <w:pStyle w:val="Heading1"/>
      </w:pPr>
      <w:r>
        <w:t>3. Import and read a trace</w:t>
      </w:r>
    </w:p>
    <w:p>
      <w:pPr>
        <w:pStyle w:val="ListNumber"/>
      </w:pPr>
      <w:r>
        <w:t>Choose Import trace / Choose trace file and select a PTMF, BIN, DAT, TRACE, TXT, or LOG file.</w:t>
      </w:r>
    </w:p>
    <w:p>
      <w:pPr>
        <w:pStyle w:val="ListNumber"/>
      </w:pPr>
      <w:r>
        <w:t>Use the sample option to explore the supplied example.</w:t>
      </w:r>
    </w:p>
    <w:p>
      <w:pPr>
        <w:pStyle w:val="ListNumber"/>
      </w:pPr>
      <w:r>
        <w:t>Confirm message count, node count, duration, format, and timestamps after import.</w:t>
      </w:r>
    </w:p>
    <w:p>
      <w:pPr>
        <w:pStyle w:val="ListNumber"/>
      </w:pPr>
      <w:r>
        <w:t>Search for a message type, protocol, node name, or text; select a row to open the inspector.</w:t>
      </w:r>
    </w:p>
    <w:p>
      <w:pPr>
        <w:pStyle w:val="Heading2"/>
      </w:pPr>
      <w:r>
        <w:t>The parser may show</w:t>
      </w:r>
    </w:p>
    <w:p>
      <w:pPr>
        <w:pStyle w:val="ListBullet"/>
      </w:pPr>
      <w:r>
        <w:t>Record boundaries, offsets/lengths, valid timestamps, and printable strings.</w:t>
      </w:r>
    </w:p>
    <w:p>
      <w:pPr>
        <w:pStyle w:val="ListBullet"/>
      </w:pPr>
      <w:r>
        <w:t>A known protocol/type label when its identifier is recognized.</w:t>
      </w:r>
    </w:p>
    <w:p>
      <w:pPr>
        <w:pStyle w:val="ListBullet"/>
      </w:pPr>
      <w:r>
        <w:t>Source/destination and direction only when present in decoded fields or supported text rows.</w:t>
      </w:r>
    </w:p>
    <w:p>
      <w:pPr>
        <w:pStyle w:val="ListBullet"/>
      </w:pPr>
      <w:r>
        <w:t>Raw bytes for protocol fields that have not been decoded.</w:t>
      </w:r>
    </w:p>
    <w:p>
      <w:r>
        <w:t>“Not decoded” means the current parser did not establish that field from this export. It does not mean the network omitted it.</w:t>
      </w:r>
    </w:p>
    <w:p>
      <w:pPr>
        <w:pStyle w:val="Heading1"/>
      </w:pPr>
      <w:r>
        <w:t>4. Inspect a message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173C45"/>
          </w:tcPr>
          <w:p>
            <w:r>
              <w:rPr>
                <w:b/>
                <w:color w:val="FFFFFF"/>
              </w:rPr>
              <w:t>Inspector area</w:t>
            </w:r>
          </w:p>
        </w:tc>
        <w:tc>
          <w:tcPr>
            <w:tcW w:type="dxa" w:w="4968"/>
            <w:shd w:fill="173C45"/>
          </w:tcPr>
          <w:p>
            <w:r>
              <w:rPr>
                <w:b/>
                <w:color w:val="FFFFFF"/>
              </w:rPr>
              <w:t>Use</w:t>
            </w:r>
          </w:p>
        </w:tc>
      </w:tr>
      <w:tr>
        <w:tc>
          <w:tcPr>
            <w:tcW w:type="dxa" w:w="4968"/>
          </w:tcPr>
          <w:p>
            <w:r>
              <w:t>Record fields</w:t>
            </w:r>
          </w:p>
        </w:tc>
        <w:tc>
          <w:tcPr>
            <w:tcW w:type="dxa" w:w="4968"/>
          </w:tcPr>
          <w:p>
            <w:r>
              <w:t>Review time, position/LMT, direction, property, type, code, size, offset, identifier field, and technology evidence.</w:t>
            </w:r>
          </w:p>
        </w:tc>
      </w:tr>
      <w:tr>
        <w:tc>
          <w:tcPr>
            <w:tcW w:type="dxa" w:w="4968"/>
          </w:tcPr>
          <w:p>
            <w:r>
              <w:t>Telecom information</w:t>
            </w:r>
          </w:p>
        </w:tc>
        <w:tc>
          <w:tcPr>
            <w:tcW w:type="dxa" w:w="4968"/>
          </w:tcPr>
          <w:p>
            <w:r>
              <w:t>Read the message role, basis, and available standards link.</w:t>
            </w:r>
          </w:p>
        </w:tc>
      </w:tr>
      <w:tr>
        <w:tc>
          <w:tcPr>
            <w:tcW w:type="dxa" w:w="4968"/>
          </w:tcPr>
          <w:p>
            <w:r>
              <w:t>Observed text</w:t>
            </w:r>
          </w:p>
        </w:tc>
        <w:tc>
          <w:tcPr>
            <w:tcW w:type="dxa" w:w="4968"/>
          </w:tcPr>
          <w:p>
            <w:r>
              <w:t>Inspect printable strings found in the record span.</w:t>
            </w:r>
          </w:p>
        </w:tc>
      </w:tr>
      <w:tr>
        <w:tc>
          <w:tcPr>
            <w:tcW w:type="dxa" w:w="4968"/>
          </w:tcPr>
          <w:p>
            <w:r>
              <w:t>Hex</w:t>
            </w:r>
          </w:p>
        </w:tc>
        <w:tc>
          <w:tcPr>
            <w:tcW w:type="dxa" w:w="4968"/>
          </w:tcPr>
          <w:p>
            <w:r>
              <w:t>Review the first displayed payload bytes.</w:t>
            </w:r>
          </w:p>
        </w:tc>
      </w:tr>
      <w:tr>
        <w:tc>
          <w:tcPr>
            <w:tcW w:type="dxa" w:w="4968"/>
          </w:tcPr>
          <w:p>
            <w:r>
              <w:t>How to read</w:t>
            </w:r>
          </w:p>
        </w:tc>
        <w:tc>
          <w:tcPr>
            <w:tcW w:type="dxa" w:w="4968"/>
          </w:tcPr>
          <w:p>
            <w:r>
              <w:t>Review parser boundaries and what needs a deeper dissector.</w:t>
            </w:r>
          </w:p>
        </w:tc>
      </w:tr>
    </w:tbl>
    <w:p>
      <w:r>
        <w:t>A request records an attempted procedure step. Inspect later responses, reject causes, and completion messages before concluding that paging, registration, attach, or service setup succeeded.</w:t>
      </w:r>
    </w:p>
    <w:p>
      <w:pPr>
        <w:pStyle w:val="Heading1"/>
      </w:pPr>
      <w:r>
        <w:t>5. Call flow and Network path</w:t>
      </w:r>
    </w:p>
    <w:p>
      <w:pPr>
        <w:pStyle w:val="Heading2"/>
      </w:pPr>
      <w:r>
        <w:t>Call flow</w:t>
      </w:r>
    </w:p>
    <w:p>
      <w:pPr>
        <w:pStyle w:val="ListBullet"/>
      </w:pPr>
      <w:r>
        <w:t>Participant lifelines show messages in chronological order.</w:t>
      </w:r>
    </w:p>
    <w:p>
      <w:pPr>
        <w:pStyle w:val="ListBullet"/>
      </w:pPr>
      <w:r>
        <w:t>Use filters and Show all records to navigate longer traces.</w:t>
      </w:r>
    </w:p>
    <w:p>
      <w:pPr>
        <w:pStyle w:val="ListBullet"/>
      </w:pPr>
      <w:r>
        <w:t>Arrows are drawn only for decoded source/destination endpoints; otherwise, the message remains an observation at its known LMT/node lane.</w:t>
      </w:r>
    </w:p>
    <w:p>
      <w:pPr>
        <w:pStyle w:val="ListBullet"/>
      </w:pPr>
      <w:r>
        <w:t>Select a row to open that message in the inspector.</w:t>
      </w:r>
    </w:p>
    <w:p>
      <w:pPr>
        <w:pStyle w:val="Heading2"/>
      </w:pPr>
      <w:r>
        <w:t>Network path</w:t>
      </w:r>
    </w:p>
    <w:p>
      <w:pPr>
        <w:pStyle w:val="ListBullet"/>
      </w:pPr>
      <w:r>
        <w:t>AUTO follows the technology associated with the selected record, or the strongest detected technology when none is selected.</w:t>
      </w:r>
    </w:p>
    <w:p>
      <w:pPr>
        <w:pStyle w:val="ListBullet"/>
      </w:pPr>
      <w:r>
        <w:t>Choose a generation filter, or ALL MESSAGES when multiple generations were detected.</w:t>
      </w:r>
    </w:p>
    <w:p>
      <w:pPr>
        <w:pStyle w:val="ListBullet"/>
      </w:pPr>
      <w:r>
        <w:t>Use Previous, Next, and Animate route to step through matching messages.</w:t>
      </w:r>
    </w:p>
    <w:p>
      <w:pPr>
        <w:pStyle w:val="ListBullet"/>
      </w:pPr>
      <w:r>
        <w:t>Select a message to highlight its matched components and see interpretation and standards references.</w:t>
      </w:r>
    </w:p>
    <w:p>
      <w:pPr>
        <w:pStyle w:val="ListBullet"/>
      </w:pPr>
      <w:r>
        <w:t>Green = position/endpoint observed. Gold dashed connectors = protocol-associated or standard reference links. Neutral nodes = reference topology only.</w:t>
      </w:r>
    </w:p>
    <w:p>
      <w:pPr>
        <w:pStyle w:val="ListBullet"/>
      </w:pPr>
      <w:r>
        <w:t>Unmapped internal messages remain visible in the list without a guessed hop.</w:t>
      </w:r>
    </w:p>
    <w:p>
      <w:r>
        <w:t>The topology is vendor-neutral and synthesized from the supplied infrastructure poster and standards knowledge. It is not a carrier inventory and does not prove that every displayed link was used in the capture.</w:t>
      </w:r>
    </w:p>
    <w:p>
      <w:pPr>
        <w:pStyle w:val="Heading1"/>
      </w:pPr>
      <w:r>
        <w:t>6. Chat and voice assistant</w:t>
      </w:r>
    </w:p>
    <w:p>
      <w:r>
        <w:t>Open Chat with trace or Voice assistant. Example questions: “Summarize this trace”, “What happened at record 13?”, “Why was 4G detected?”, or “Explain the Extended Service Request and what confirms success?” Record citations link back to trace events.</w:t>
      </w:r>
    </w:p>
    <w:p>
      <w:pPr>
        <w:pStyle w:val="ListBullet"/>
      </w:pPr>
      <w:r>
        <w:t>Viewer commands such as opening tabs, selecting records, playback, and export are handled locally.</w:t>
      </w:r>
    </w:p>
    <w:p>
      <w:pPr>
        <w:pStyle w:val="ListBullet"/>
      </w:pPr>
      <w:r>
        <w:t>The assistant’s knowledge answer uses the configured NVIDIA GLM-5.3 endpoint.</w:t>
      </w:r>
    </w:p>
    <w:p>
      <w:pPr>
        <w:pStyle w:val="ListBullet"/>
      </w:pPr>
      <w:r>
        <w:t>Voice recognition/output depends on browser support and may use the browser’s speech service.</w:t>
      </w:r>
    </w:p>
    <w:p>
      <w:pPr>
        <w:pStyle w:val="ListBullet"/>
      </w:pPr>
      <w:r>
        <w:t>Do not send trace data to an external model unless organizational policy permits it.</w:t>
      </w:r>
    </w:p>
    <w:p>
      <w:pPr>
        <w:pStyle w:val="Heading1"/>
      </w:pPr>
      <w:r>
        <w:t>7. Research Desk</w:t>
      </w:r>
    </w:p>
    <w:p>
      <w:pPr>
        <w:pStyle w:val="ListNumber"/>
      </w:pPr>
      <w:r>
        <w:t>Open Research desk.</w:t>
      </w:r>
    </w:p>
    <w:p>
      <w:pPr>
        <w:pStyle w:val="ListNumber"/>
      </w:pPr>
      <w:r>
        <w:t>Enter a Huawei/LMT/protocol query and optionally restrict results to Huawei domains.</w:t>
      </w:r>
    </w:p>
    <w:p>
      <w:pPr>
        <w:pStyle w:val="ListNumber"/>
      </w:pPr>
      <w:r>
        <w:t>Submit Search explicitly; a search may consume a Tavily credit.</w:t>
      </w:r>
    </w:p>
    <w:p>
      <w:pPr>
        <w:pStyle w:val="ListNumber"/>
      </w:pPr>
      <w:r>
        <w:t>Review the source and save useful items to the local library.</w:t>
      </w:r>
    </w:p>
    <w:p>
      <w:pPr>
        <w:pStyle w:val="ListNumber"/>
      </w:pPr>
      <w:r>
        <w:t>Add PDF, Word, text, CSV, HTML, or JSON reference documents to browser storage.</w:t>
      </w:r>
    </w:p>
    <w:p>
      <w:r>
        <w:t>Web search results are external reference material, not evidence from the trace. Confirm version, release, and applicability in the source document.</w:t>
      </w:r>
    </w:p>
    <w:p>
      <w:pPr>
        <w:pStyle w:val="Heading1"/>
      </w:pPr>
      <w:r>
        <w:t>8. Audit and export</w:t>
      </w:r>
    </w:p>
    <w:p>
      <w:pPr>
        <w:pStyle w:val="ListBullet"/>
      </w:pPr>
      <w:r>
        <w:t>Activities records UI actions such as imports, selections, research searches, and exports.</w:t>
      </w:r>
    </w:p>
    <w:p>
      <w:pPr>
        <w:pStyle w:val="ListBullet"/>
      </w:pPr>
      <w:r>
        <w:t>Why / decisions displays the observed evidence and rules behind local analysis—not hidden chain-of-thought.</w:t>
      </w:r>
    </w:p>
    <w:p>
      <w:pPr>
        <w:pStyle w:val="ListBullet"/>
      </w:pPr>
      <w:r>
        <w:t>Export the visible audit tab as JSON. Export report downloads trace metadata and message-level analysis as JSON.</w:t>
      </w:r>
    </w:p>
    <w:p>
      <w:pPr>
        <w:pStyle w:val="ListBullet"/>
      </w:pPr>
      <w:r>
        <w:t>Treat exported trace reports as sensitive data.</w:t>
      </w:r>
    </w:p>
    <w:p>
      <w:pPr>
        <w:pStyle w:val="Heading1"/>
      </w:pPr>
      <w:r>
        <w:t>9. Evidence levels and limitations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173C45"/>
          </w:tcPr>
          <w:p>
            <w:r>
              <w:rPr>
                <w:b/>
                <w:color w:val="FFFFFF"/>
              </w:rPr>
              <w:t>Level</w:t>
            </w:r>
          </w:p>
        </w:tc>
        <w:tc>
          <w:tcPr>
            <w:tcW w:type="dxa" w:w="4968"/>
            <w:shd w:fill="173C45"/>
          </w:tcPr>
          <w:p>
            <w:r>
              <w:rPr>
                <w:b/>
                <w:color w:val="FFFFFF"/>
              </w:rPr>
              <w:t>Meaning</w:t>
            </w:r>
          </w:p>
        </w:tc>
      </w:tr>
      <w:tr>
        <w:tc>
          <w:tcPr>
            <w:tcW w:type="dxa" w:w="4968"/>
          </w:tcPr>
          <w:p>
            <w:r>
              <w:t>Observed</w:t>
            </w:r>
          </w:p>
        </w:tc>
        <w:tc>
          <w:tcPr>
            <w:tcW w:type="dxa" w:w="4968"/>
          </w:tcPr>
          <w:p>
            <w:r>
              <w:t>Value appears explicitly in the record/container or decoded endpoint.</w:t>
            </w:r>
          </w:p>
        </w:tc>
      </w:tr>
      <w:tr>
        <w:tc>
          <w:tcPr>
            <w:tcW w:type="dxa" w:w="4968"/>
          </w:tcPr>
          <w:p>
            <w:r>
              <w:t>Translated</w:t>
            </w:r>
          </w:p>
        </w:tc>
        <w:tc>
          <w:tcPr>
            <w:tcW w:type="dxa" w:w="4968"/>
          </w:tcPr>
          <w:p>
            <w:r>
              <w:t>Protocol/type identifier recognized; not necessarily all information elements.</w:t>
            </w:r>
          </w:p>
        </w:tc>
      </w:tr>
      <w:tr>
        <w:tc>
          <w:tcPr>
            <w:tcW w:type="dxa" w:w="4968"/>
          </w:tcPr>
          <w:p>
            <w:r>
              <w:t>Associated</w:t>
            </w:r>
          </w:p>
        </w:tc>
        <w:tc>
          <w:tcPr>
            <w:tcW w:type="dxa" w:w="4968"/>
          </w:tcPr>
          <w:p>
            <w:r>
              <w:t>Protocol signature points to likely network roles; exact endpoints may not be decoded.</w:t>
            </w:r>
          </w:p>
        </w:tc>
      </w:tr>
      <w:tr>
        <w:tc>
          <w:tcPr>
            <w:tcW w:type="dxa" w:w="4968"/>
          </w:tcPr>
          <w:p>
            <w:r>
              <w:t>Reference</w:t>
            </w:r>
          </w:p>
        </w:tc>
        <w:tc>
          <w:tcPr>
            <w:tcW w:type="dxa" w:w="4968"/>
          </w:tcPr>
          <w:p>
            <w:r>
              <w:t>Generic 3GPP-style topology for explanation, not the operator live route.</w:t>
            </w:r>
          </w:p>
        </w:tc>
      </w:tr>
      <w:tr>
        <w:tc>
          <w:tcPr>
            <w:tcW w:type="dxa" w:w="4968"/>
          </w:tcPr>
          <w:p>
            <w:r>
              <w:t>Unknown</w:t>
            </w:r>
          </w:p>
        </w:tc>
        <w:tc>
          <w:tcPr>
            <w:tcW w:type="dxa" w:w="4968"/>
          </w:tcPr>
          <w:p>
            <w:r>
              <w:t>Evidence is insufficient; do not fill the gap by guessing.</w:t>
            </w:r>
          </w:p>
        </w:tc>
      </w:tr>
    </w:tbl>
    <w:p>
      <w:pPr>
        <w:pStyle w:val="ListBullet"/>
      </w:pPr>
      <w:r>
        <w:t>Binary PTMF decoding is partial; some vendor-internal records remain labels and raw bytes.</w:t>
      </w:r>
    </w:p>
    <w:p>
      <w:pPr>
        <w:pStyle w:val="ListBullet"/>
      </w:pPr>
      <w:r>
        <w:t>Technology recognition depends on exported protocol/node signatures. Missing signatures do not prove a technology was unused.</w:t>
      </w:r>
    </w:p>
    <w:p>
      <w:pPr>
        <w:pStyle w:val="ListBullet"/>
      </w:pPr>
      <w:r>
        <w:t>Route view is a reference model, not an end-to-end topology reconstruction.</w:t>
      </w:r>
    </w:p>
    <w:p>
      <w:pPr>
        <w:pStyle w:val="ListBullet"/>
      </w:pPr>
      <w:r>
        <w:t>Assistant responses may be incomplete or inaccurate; validate using a qualified dissector, applicable 3GPP release, and network-side evidence.</w:t>
      </w:r>
    </w:p>
    <w:p>
      <w:pPr>
        <w:pStyle w:val="Heading1"/>
      </w:pPr>
      <w:r>
        <w:t>10. Troubleshooting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173C45"/>
          </w:tcPr>
          <w:p>
            <w:r>
              <w:rPr>
                <w:b/>
                <w:color w:val="FFFFFF"/>
              </w:rPr>
              <w:t>Issue</w:t>
            </w:r>
          </w:p>
        </w:tc>
        <w:tc>
          <w:tcPr>
            <w:tcW w:type="dxa" w:w="4968"/>
            <w:shd w:fill="173C45"/>
          </w:tcPr>
          <w:p>
            <w:r>
              <w:rPr>
                <w:b/>
                <w:color w:val="FFFFFF"/>
              </w:rPr>
              <w:t>Action</w:t>
            </w:r>
          </w:p>
        </w:tc>
      </w:tr>
      <w:tr>
        <w:tc>
          <w:tcPr>
            <w:tcW w:type="dxa" w:w="4968"/>
          </w:tcPr>
          <w:p>
            <w:r>
              <w:t>Trace will not load</w:t>
            </w:r>
          </w:p>
        </w:tc>
        <w:tc>
          <w:tcPr>
            <w:tcW w:type="dxa" w:w="4968"/>
          </w:tcPr>
          <w:p>
            <w:r>
              <w:t>Confirm file format; try the sample or a text export if binary record markers are unfamiliar.</w:t>
            </w:r>
          </w:p>
        </w:tc>
      </w:tr>
      <w:tr>
        <w:tc>
          <w:tcPr>
            <w:tcW w:type="dxa" w:w="4968"/>
          </w:tcPr>
          <w:p>
            <w:r>
              <w:t>Technology not confirmed</w:t>
            </w:r>
          </w:p>
        </w:tc>
        <w:tc>
          <w:tcPr>
            <w:tcW w:type="dxa" w:w="4968"/>
          </w:tcPr>
          <w:p>
            <w:r>
              <w:t>Check the translated type and evidence list; the view needs a recognized RAT-specific signature.</w:t>
            </w:r>
          </w:p>
        </w:tc>
      </w:tr>
      <w:tr>
        <w:tc>
          <w:tcPr>
            <w:tcW w:type="dxa" w:w="4968"/>
          </w:tcPr>
          <w:p>
            <w:r>
              <w:t>No route highlight</w:t>
            </w:r>
          </w:p>
        </w:tc>
        <w:tc>
          <w:tcPr>
            <w:tcW w:type="dxa" w:w="4968"/>
          </w:tcPr>
          <w:p>
            <w:r>
              <w:t>Select a message with a known endpoint/protocol. Vendor-internal positions may not map to a generic role.</w:t>
            </w:r>
          </w:p>
        </w:tc>
      </w:tr>
      <w:tr>
        <w:tc>
          <w:tcPr>
            <w:tcW w:type="dxa" w:w="4968"/>
          </w:tcPr>
          <w:p>
            <w:r>
              <w:t>AI unavailable</w:t>
            </w:r>
          </w:p>
        </w:tc>
        <w:tc>
          <w:tcPr>
            <w:tcW w:type="dxa" w:w="4968"/>
          </w:tcPr>
          <w:p>
            <w:r>
              <w:t>Check NVIDIA_API_KEY in .env.local, restart the server, and inspect /api/health. Never share the key.</w:t>
            </w:r>
          </w:p>
        </w:tc>
      </w:tr>
      <w:tr>
        <w:tc>
          <w:tcPr>
            <w:tcW w:type="dxa" w:w="4968"/>
          </w:tcPr>
          <w:p>
            <w:r>
              <w:t>Research unavailable</w:t>
            </w:r>
          </w:p>
        </w:tc>
        <w:tc>
          <w:tcPr>
            <w:tcW w:type="dxa" w:w="4968"/>
          </w:tcPr>
          <w:p>
            <w:r>
              <w:t>Check TAVILY_API_KEY and server status; submit a query from Research Desk.</w:t>
            </w:r>
          </w:p>
        </w:tc>
      </w:tr>
      <w:tr>
        <w:tc>
          <w:tcPr>
            <w:tcW w:type="dxa" w:w="4968"/>
          </w:tcPr>
          <w:p>
            <w:r>
              <w:t>Saved items missing</w:t>
            </w:r>
          </w:p>
        </w:tc>
        <w:tc>
          <w:tcPr>
            <w:tcW w:type="dxa" w:w="4968"/>
          </w:tcPr>
          <w:p>
            <w:r>
              <w:t>They belong to the same browser profile/site storage; clearing site data removes them.</w:t>
            </w:r>
          </w:p>
        </w:tc>
      </w:tr>
    </w:tbl>
    <w:p>
      <w:pPr>
        <w:pStyle w:val="Heading1"/>
      </w:pPr>
      <w:r>
        <w:t>Presenter walkthrough</w:t>
      </w:r>
    </w:p>
    <w:p>
      <w:pPr>
        <w:pStyle w:val="ListNumber"/>
      </w:pPr>
      <w:r>
        <w:t>Import the sample and point out record count and timestamp range.</w:t>
      </w:r>
    </w:p>
    <w:p>
      <w:pPr>
        <w:pStyle w:val="ListNumber"/>
      </w:pPr>
      <w:r>
        <w:t>Select a translated message; show observed fields, interpretation basis, and 3GPP link.</w:t>
      </w:r>
    </w:p>
    <w:p>
      <w:pPr>
        <w:pStyle w:val="ListNumber"/>
      </w:pPr>
      <w:r>
        <w:t>Open Call flow and explain why undecoded endpoints do not get arrows.</w:t>
      </w:r>
    </w:p>
    <w:p>
      <w:pPr>
        <w:pStyle w:val="ListNumber"/>
      </w:pPr>
      <w:r>
        <w:t>Open Network path in AUTO and animate a few events; distinguish green matches from inferred links.</w:t>
      </w:r>
    </w:p>
    <w:p>
      <w:pPr>
        <w:pStyle w:val="ListNumber"/>
      </w:pPr>
      <w:r>
        <w:t>Ask an assistant question and open its record citation; explain NVIDIA context sharing.</w:t>
      </w:r>
    </w:p>
    <w:p>
      <w:pPr>
        <w:pStyle w:val="ListNumber"/>
      </w:pPr>
      <w:r>
        <w:t>Finish with Activities / Why decisions and export a JSON report.</w:t>
      </w:r>
    </w:p>
    <w:p>
      <w:r>
        <w:br w:type="page"/>
      </w:r>
    </w:p>
    <w:p>
      <w:pPr>
        <w:pStyle w:val="Heading1"/>
      </w:pPr>
      <w:r>
        <w:t>Docker deployment</w:t>
      </w:r>
    </w:p>
    <w:p>
      <w:r>
        <w:t>TraceScope can run as a container. From the project directory, run `docker compose up --build -d`, then open http://127.0.0.1:4173/. Docker Engine/Desktop with the Compose plugin is required; a host Node installation is not needed.</w:t>
      </w:r>
    </w:p>
    <w:p>
      <w:r>
        <w:t>For API integrations, set NVIDIA_API_KEY and TAVILY_API_KEY in the ignored .env file, or run `docker compose --env-file .env.local up --build -d`. Compose passes credentials at runtime. The image excludes environment files and trace captures; the bundled sample trace is omitted and its shortcut is hidden in the container.</w:t>
      </w:r>
    </w:p>
    <w:p>
      <w:r>
        <w:t>Useful commands: `docker compose ps`, `docker compose logs -f tracescope`, `docker compose down`. See DOCKER.md for health checks and security details. The default port binding is local-only and the Compose setup does not include authentication or TLS.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152" w:bottom="936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>TraceScope · User manual · 05 Oct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color w:val="17645A"/>
      </w:rPr>
      <w:t>TRACESCOPE  /  ENGINEER FIELD GUIDE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color w:val="283544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02334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7645A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02334"/>
      <w:spacing w:val="5"/>
      <w:kern w:val="28"/>
      <w:sz w:val="6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