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Star Type Classification from Physical Properties</w:t>
      </w:r>
    </w:p>
    <w:p>
      <w:pPr/>
      <w:r>
        <w:rPr>
          <w:i/>
        </w:rPr>
        <w:t xml:space="preserve">From the Hertzsprung-Russell Diagram to an Explainable Machine Learning Pipeline</w:t>
      </w:r>
    </w:p>
    <w:p>
      <w:pPr/>
      <w:r>
        <w:t xml:space="preserve">Author: [Your Name] · October 2026 · Project documentation paper</w:t>
      </w:r>
    </w:p>
    <w:p>
      <w:pPr>
        <w:pStyle w:val="Heading2"/>
      </w:pPr>
      <w:r>
        <w:t xml:space="preserve">Abstract</w:t>
      </w:r>
    </w:p>
    <w:p>
      <w:pPr/>
      <w:r>
        <w:t xml:space="preserve">This paper documents a machine learning project that classifies stars into six types (Red Dwarf, Brown Dwarf, White Dwarf, Main Sequence, Super Giant, Hyper Giant) from their physical properties: surface temperature, luminosity, radius, absolute magnitude, color, and spectral class. Using a balanced dataset of 240 stars, we clean the data, engineer log-scaled and physics-motivated features, and compare six models under repeated stratified cross-validation. Several models exceed 96% accuracy and a random forest reaches 100% in every fold. Because that result is suspiciously easy, the project focuses on understanding why. Ablation experiments show that absolute magnitude and radius carry most of the signal, that temperature plus luminosity alone reach only 83%, and that color and spectral class alone reach only 51%. A physics consistency check also shows that the dataset's luminosity values do not follow the Stefan-Boltzmann law, which indicates the data is not a faithful sample of real stars. We conclude that the task is a useful teaching and demonstration problem, but that near-perfect accuracy should not be read as evidence of a hard problem solved.</w:t>
      </w:r>
    </w:p>
    <w:p>
      <w:pPr>
        <w:pStyle w:val="Heading2"/>
      </w:pPr>
      <w:r>
        <w:t xml:space="preserve">1. Introduction</w:t>
      </w:r>
    </w:p>
    <w:p>
      <w:pPr>
        <w:pStyle w:val="Heading3"/>
      </w:pPr>
      <w:r>
        <w:t xml:space="preserve">1.1 Motivation</w:t>
      </w:r>
    </w:p>
    <w:p>
      <w:pPr/>
      <w:r>
        <w:t xml:space="preserve">Astronomers have classified stars for more than a century using the Hertzsprung-Russell (HR) diagram, which plots luminosity against surface temperature. Stars of the same evolutionary type occupy characteristic regions of this diagram. That makes stellar classification a natural supervised learning problem: if the classes are defined by physical position, a model should be able to learn the boundaries.</w:t>
      </w:r>
    </w:p>
    <w:p>
      <w:pPr>
        <w:pStyle w:val="Heading3"/>
      </w:pPr>
      <w:r>
        <w:t xml:space="preserve">1.2 Objectives</w:t>
      </w:r>
    </w:p>
    <w:p>
      <w:pPr>
        <w:pStyle w:val="ListParagraph"/>
        <w:numPr>
          <w:ilvl w:val="0"/>
          <w:numId w:val="2"/>
        </w:numPr>
      </w:pPr>
      <w:r>
        <w:t xml:space="preserve">Build a clean, reproducible data pipeline for the Stars dataset.</w:t>
      </w:r>
    </w:p>
    <w:p>
      <w:pPr>
        <w:pStyle w:val="ListParagraph"/>
        <w:numPr>
          <w:ilvl w:val="0"/>
          <w:numId w:val="2"/>
        </w:numPr>
      </w:pPr>
      <w:r>
        <w:t xml:space="preserve">Reconstruct the HR diagram and interpret the classes astrophysically.</w:t>
      </w:r>
    </w:p>
    <w:p>
      <w:pPr>
        <w:pStyle w:val="ListParagraph"/>
        <w:numPr>
          <w:ilvl w:val="0"/>
          <w:numId w:val="2"/>
        </w:numPr>
      </w:pPr>
      <w:r>
        <w:t xml:space="preserve">Compare classical machine learning models with rigorous evaluation.</w:t>
      </w:r>
    </w:p>
    <w:p>
      <w:pPr>
        <w:pStyle w:val="ListParagraph"/>
        <w:numPr>
          <w:ilvl w:val="0"/>
          <w:numId w:val="2"/>
        </w:numPr>
      </w:pPr>
      <w:r>
        <w:t xml:space="preserve">Identify which features drive predictions, and test the dataset's physical validity.</w:t>
      </w:r>
    </w:p>
    <w:p>
      <w:pPr>
        <w:pStyle w:val="ListParagraph"/>
        <w:numPr>
          <w:ilvl w:val="0"/>
          <w:numId w:val="2"/>
        </w:numPr>
      </w:pPr>
      <w:r>
        <w:t xml:space="preserve">Package the best model in an interactive application.</w:t>
      </w:r>
    </w:p>
    <w:p>
      <w:pPr>
        <w:pStyle w:val="Heading3"/>
      </w:pPr>
      <w:r>
        <w:t xml:space="preserve">1.3 Contributions</w:t>
      </w:r>
    </w:p>
    <w:p>
      <w:pPr/>
      <w:r>
        <w:t xml:space="preserve">Beyond the usual model comparison, this project contributes an ablation study that separates informative features from redundant ones, a physics-based consistency check of the data, and an honest discussion of why high accuracy is easy to obtain here.</w:t>
      </w:r>
    </w:p>
    <w:p>
      <w:pPr>
        <w:pStyle w:val="Heading2"/>
      </w:pPr>
      <w:r>
        <w:t xml:space="preserve">2. Dataset</w:t>
      </w:r>
    </w:p>
    <w:p>
      <w:pPr>
        <w:pStyle w:val="Heading3"/>
      </w:pPr>
      <w:r>
        <w:t xml:space="preserve">2.1 Description</w:t>
      </w:r>
    </w:p>
    <w:p>
      <w:pPr/>
      <w:r>
        <w:t xml:space="preserve">The dataset (Stars.csv) contains 240 rows and 7 columns.</w:t>
      </w:r>
    </w:p>
    <w:tbl>
      <w:tblPr>
        <w:tblStyle w:val="TableGrid"/>
        <w:tblW w:w="0" w:type="auto"/>
        <w:tblLayout w:type="fixed"/>
        <w:tblLook w:val="04A0" w:firstRow="1" w:lastRow="0" w:firstColumn="0" w:lastColumn="0" w:noHBand="0" w:noVBand="1"/>
      </w:tblPr>
      <w:tblGrid>
        <w:gridCol w:w="2085"/>
        <w:gridCol w:w="5642"/>
        <w:gridCol w:w="1632"/>
      </w:tblGrid>
      <w:tr>
        <w:trPr>
          <w:tblHeader/>
        </w:trPr>
        <w:tc>
          <w:tcPr>
            <w:tcW w:w="2085" w:type="dxa"/>
            <w:shd w:val="clear" w:color="auto" w:fill="F2F2F2"/>
          </w:tcPr>
          <w:p>
            <w:pPr/>
            <w:r>
              <w:t xml:space="preserve">Column</w:t>
            </w:r>
          </w:p>
        </w:tc>
        <w:tc>
          <w:tcPr>
            <w:tcW w:w="5642" w:type="dxa"/>
            <w:shd w:val="clear" w:color="auto" w:fill="F2F2F2"/>
          </w:tcPr>
          <w:p>
            <w:pPr/>
            <w:r>
              <w:t xml:space="preserve">Description</w:t>
            </w:r>
          </w:p>
        </w:tc>
        <w:tc>
          <w:tcPr>
            <w:tcW w:w="1632" w:type="dxa"/>
            <w:shd w:val="clear" w:color="auto" w:fill="F2F2F2"/>
          </w:tcPr>
          <w:p>
            <w:pPr/>
            <w:r>
              <w:t xml:space="preserve">Type</w:t>
            </w:r>
          </w:p>
        </w:tc>
      </w:tr>
      <w:tr>
        <w:tc>
          <w:tcPr>
            <w:tcW w:w="2085" w:type="dxa"/>
          </w:tcPr>
          <w:p>
            <w:pPr/>
            <w:r>
              <w:t xml:space="preserve">Temperature</w:t>
            </w:r>
          </w:p>
        </w:tc>
        <w:tc>
          <w:tcPr>
            <w:tcW w:w="5642" w:type="dxa"/>
          </w:tcPr>
          <w:p>
            <w:pPr/>
            <w:r>
              <w:t xml:space="preserve">Surface temperature in kelvin</w:t>
            </w:r>
          </w:p>
        </w:tc>
        <w:tc>
          <w:tcPr>
            <w:tcW w:w="1632" w:type="dxa"/>
          </w:tcPr>
          <w:p>
            <w:pPr/>
            <w:r>
              <w:t xml:space="preserve">Numeric</w:t>
            </w:r>
          </w:p>
        </w:tc>
      </w:tr>
      <w:tr>
        <w:tc>
          <w:tcPr>
            <w:tcW w:w="2085" w:type="dxa"/>
          </w:tcPr>
          <w:p>
            <w:pPr/>
            <w:r>
              <w:t xml:space="preserve">L</w:t>
            </w:r>
          </w:p>
        </w:tc>
        <w:tc>
          <w:tcPr>
            <w:tcW w:w="5642" w:type="dxa"/>
          </w:tcPr>
          <w:p>
            <w:pPr/>
            <w:r>
              <w:t xml:space="preserve">Luminosity relative to the Sun (L/Lo, where Lo = 3.828 x 10^26 W)</w:t>
            </w:r>
          </w:p>
        </w:tc>
        <w:tc>
          <w:tcPr>
            <w:tcW w:w="1632" w:type="dxa"/>
          </w:tcPr>
          <w:p>
            <w:pPr/>
            <w:r>
              <w:t xml:space="preserve">Numeric</w:t>
            </w:r>
          </w:p>
        </w:tc>
      </w:tr>
      <w:tr>
        <w:tc>
          <w:tcPr>
            <w:tcW w:w="2085" w:type="dxa"/>
          </w:tcPr>
          <w:p>
            <w:pPr/>
            <w:r>
              <w:t xml:space="preserve">R</w:t>
            </w:r>
          </w:p>
        </w:tc>
        <w:tc>
          <w:tcPr>
            <w:tcW w:w="5642" w:type="dxa"/>
          </w:tcPr>
          <w:p>
            <w:pPr/>
            <w:r>
              <w:t xml:space="preserve">Radius relative to the Sun (R/Ro, where Ro = 6.9551 x 10^8 m)</w:t>
            </w:r>
          </w:p>
        </w:tc>
        <w:tc>
          <w:tcPr>
            <w:tcW w:w="1632" w:type="dxa"/>
          </w:tcPr>
          <w:p>
            <w:pPr/>
            <w:r>
              <w:t xml:space="preserve">Numeric</w:t>
            </w:r>
          </w:p>
        </w:tc>
      </w:tr>
      <w:tr>
        <w:tc>
          <w:tcPr>
            <w:tcW w:w="2085" w:type="dxa"/>
          </w:tcPr>
          <w:p>
            <w:pPr/>
            <w:r>
              <w:t xml:space="preserve">A_M</w:t>
            </w:r>
          </w:p>
        </w:tc>
        <w:tc>
          <w:tcPr>
            <w:tcW w:w="5642" w:type="dxa"/>
          </w:tcPr>
          <w:p>
            <w:pPr/>
            <w:r>
              <w:t xml:space="preserve">Absolute magnitude (Mv)</w:t>
            </w:r>
          </w:p>
        </w:tc>
        <w:tc>
          <w:tcPr>
            <w:tcW w:w="1632" w:type="dxa"/>
          </w:tcPr>
          <w:p>
            <w:pPr/>
            <w:r>
              <w:t xml:space="preserve">Numeric</w:t>
            </w:r>
          </w:p>
        </w:tc>
      </w:tr>
      <w:tr>
        <w:tc>
          <w:tcPr>
            <w:tcW w:w="2085" w:type="dxa"/>
          </w:tcPr>
          <w:p>
            <w:pPr/>
            <w:r>
              <w:t xml:space="preserve">Color</w:t>
            </w:r>
          </w:p>
        </w:tc>
        <w:tc>
          <w:tcPr>
            <w:tcW w:w="5642" w:type="dxa"/>
          </w:tcPr>
          <w:p>
            <w:pPr/>
            <w:r>
              <w:t xml:space="preserve">General color of the spectrum</w:t>
            </w:r>
          </w:p>
        </w:tc>
        <w:tc>
          <w:tcPr>
            <w:tcW w:w="1632" w:type="dxa"/>
          </w:tcPr>
          <w:p>
            <w:pPr/>
            <w:r>
              <w:t xml:space="preserve">Categorical</w:t>
            </w:r>
          </w:p>
        </w:tc>
      </w:tr>
      <w:tr>
        <w:tc>
          <w:tcPr>
            <w:tcW w:w="2085" w:type="dxa"/>
          </w:tcPr>
          <w:p>
            <w:pPr/>
            <w:r>
              <w:t xml:space="preserve">Spectral_Class</w:t>
            </w:r>
          </w:p>
        </w:tc>
        <w:tc>
          <w:tcPr>
            <w:tcW w:w="5642" w:type="dxa"/>
          </w:tcPr>
          <w:p>
            <w:pPr/>
            <w:r>
              <w:t xml:space="preserve">O, B, A, F, G, K, M</w:t>
            </w:r>
          </w:p>
        </w:tc>
        <w:tc>
          <w:tcPr>
            <w:tcW w:w="1632" w:type="dxa"/>
          </w:tcPr>
          <w:p>
            <w:pPr/>
            <w:r>
              <w:t xml:space="preserve">Categorical</w:t>
            </w:r>
          </w:p>
        </w:tc>
      </w:tr>
      <w:tr>
        <w:tc>
          <w:tcPr>
            <w:tcW w:w="2085" w:type="dxa"/>
          </w:tcPr>
          <w:p>
            <w:pPr/>
            <w:r>
              <w:t xml:space="preserve">Type</w:t>
            </w:r>
          </w:p>
        </w:tc>
        <w:tc>
          <w:tcPr>
            <w:tcW w:w="5642" w:type="dxa"/>
          </w:tcPr>
          <w:p>
            <w:pPr/>
            <w:r>
              <w:t xml:space="preserve">Target, coded 0 to 5</w:t>
            </w:r>
          </w:p>
        </w:tc>
        <w:tc>
          <w:tcPr>
            <w:tcW w:w="1632" w:type="dxa"/>
          </w:tcPr>
          <w:p>
            <w:pPr/>
            <w:r>
              <w:t xml:space="preserve">Categorical</w:t>
            </w:r>
          </w:p>
        </w:tc>
      </w:tr>
    </w:tbl>
    <w:p>
      <w:pPr/>
      <w:r>
        <w:t xml:space="preserve">The target coding is: 0 Red Dwarf, 1 Brown Dwarf, 2 White Dwarf, 3 Main Sequence, 4 Super Giant, 5 Hyper Giant.</w:t>
      </w:r>
    </w:p>
    <w:p>
      <w:pPr>
        <w:pStyle w:val="Heading3"/>
      </w:pPr>
      <w:r>
        <w:t xml:space="preserve">2.2 Data quality</w:t>
      </w:r>
    </w:p>
    <w:p>
      <w:pPr>
        <w:pStyle w:val="ListParagraph"/>
        <w:numPr>
          <w:ilvl w:val="0"/>
          <w:numId w:val="3"/>
        </w:numPr>
      </w:pPr>
      <w:r>
        <w:t xml:space="preserve">No missing values and no duplicate rows were found.</w:t>
      </w:r>
    </w:p>
    <w:p>
      <w:pPr>
        <w:pStyle w:val="ListParagraph"/>
        <w:numPr>
          <w:ilvl w:val="0"/>
          <w:numId w:val="3"/>
        </w:numPr>
      </w:pPr>
      <w:r>
        <w:t xml:space="preserve">The classes are perfectly balanced, with exactly 40 stars per type. Accuracy is therefore a fair metric, and the majority-class baseline is 16.7%.</w:t>
      </w:r>
    </w:p>
    <w:p>
      <w:pPr>
        <w:pStyle w:val="ListParagraph"/>
        <w:numPr>
          <w:ilvl w:val="0"/>
          <w:numId w:val="3"/>
        </w:numPr>
      </w:pPr>
      <w:r>
        <w:t xml:space="preserve">The Color column is inconsistent: it contains 17 distinct strings that describe only about 8 real colors (for example "Blue-white", "Blue White", "Blue white" and "Blue-White" are the same category).</w:t>
      </w:r>
    </w:p>
    <w:p>
      <w:pPr>
        <w:pStyle w:val="ListParagraph"/>
        <w:numPr>
          <w:ilvl w:val="0"/>
          <w:numId w:val="3"/>
        </w:numPr>
      </w:pPr>
      <w:r>
        <w:t xml:space="preserve">Luminosity and radius span many orders of magnitude (luminosity reaches roughly 850,000 times solar), so raw values are heavily skewed.</w:t>
      </w:r>
    </w:p>
    <w:p>
      <w:pPr>
        <w:pStyle w:val="Heading3"/>
      </w:pPr>
      <w:r>
        <w:t xml:space="preserve">2.3 Class profiles</w:t>
      </w:r>
    </w:p>
    <w:p>
      <w:pPr/>
      <w:r>
        <w:t xml:space="preserve">Median values per class show the expected structure of the HR diagram.</w:t>
      </w:r>
    </w:p>
    <w:tbl>
      <w:tblPr>
        <w:tblStyle w:val="TableGrid"/>
        <w:tblW w:w="0" w:type="auto"/>
        <w:tblLayout w:type="fixed"/>
        <w:tblLook w:val="04A0" w:firstRow="1" w:lastRow="0" w:firstColumn="0" w:lastColumn="0" w:noHBand="0" w:noVBand="1"/>
      </w:tblPr>
      <w:tblGrid>
        <w:gridCol w:w="2212"/>
        <w:gridCol w:w="2125"/>
        <w:gridCol w:w="1252"/>
        <w:gridCol w:w="1252"/>
        <w:gridCol w:w="2515"/>
      </w:tblGrid>
      <w:tr>
        <w:trPr>
          <w:tblHeader/>
        </w:trPr>
        <w:tc>
          <w:tcPr>
            <w:tcW w:w="2212" w:type="dxa"/>
            <w:shd w:val="clear" w:color="auto" w:fill="F2F2F2"/>
          </w:tcPr>
          <w:p>
            <w:pPr/>
            <w:r>
              <w:t xml:space="preserve">Type</w:t>
            </w:r>
          </w:p>
        </w:tc>
        <w:tc>
          <w:tcPr>
            <w:tcW w:w="2125" w:type="dxa"/>
            <w:shd w:val="clear" w:color="auto" w:fill="F2F2F2"/>
          </w:tcPr>
          <w:p>
            <w:pPr/>
            <w:r>
              <w:t xml:space="preserve">Temperature (K)</w:t>
            </w:r>
          </w:p>
        </w:tc>
        <w:tc>
          <w:tcPr>
            <w:tcW w:w="1252" w:type="dxa"/>
            <w:shd w:val="clear" w:color="auto" w:fill="F2F2F2"/>
          </w:tcPr>
          <w:p>
            <w:pPr/>
            <w:r>
              <w:t xml:space="preserve">L (solar)</w:t>
            </w:r>
          </w:p>
        </w:tc>
        <w:tc>
          <w:tcPr>
            <w:tcW w:w="1252" w:type="dxa"/>
            <w:shd w:val="clear" w:color="auto" w:fill="F2F2F2"/>
          </w:tcPr>
          <w:p>
            <w:pPr/>
            <w:r>
              <w:t xml:space="preserve">R (solar)</w:t>
            </w:r>
          </w:p>
        </w:tc>
        <w:tc>
          <w:tcPr>
            <w:tcW w:w="2515" w:type="dxa"/>
            <w:shd w:val="clear" w:color="auto" w:fill="F2F2F2"/>
          </w:tcPr>
          <w:p>
            <w:pPr/>
            <w:r>
              <w:t xml:space="preserve">Absolute magnitude</w:t>
            </w:r>
          </w:p>
        </w:tc>
      </w:tr>
      <w:tr>
        <w:tc>
          <w:tcPr>
            <w:tcW w:w="2212" w:type="dxa"/>
          </w:tcPr>
          <w:p>
            <w:pPr/>
            <w:r>
              <w:t xml:space="preserve">0 Red Dwarf</w:t>
            </w:r>
          </w:p>
        </w:tc>
        <w:tc>
          <w:tcPr>
            <w:tcW w:w="2125" w:type="dxa"/>
          </w:tcPr>
          <w:p>
            <w:pPr/>
            <w:r>
              <w:t xml:space="preserve">2,935</w:t>
            </w:r>
          </w:p>
        </w:tc>
        <w:tc>
          <w:tcPr>
            <w:tcW w:w="1252" w:type="dxa"/>
          </w:tcPr>
          <w:p>
            <w:pPr/>
            <w:r>
              <w:t xml:space="preserve">0.0005</w:t>
            </w:r>
          </w:p>
        </w:tc>
        <w:tc>
          <w:tcPr>
            <w:tcW w:w="1252" w:type="dxa"/>
          </w:tcPr>
          <w:p>
            <w:pPr/>
            <w:r>
              <w:t xml:space="preserve">0.11</w:t>
            </w:r>
          </w:p>
        </w:tc>
        <w:tc>
          <w:tcPr>
            <w:tcW w:w="2515" w:type="dxa"/>
          </w:tcPr>
          <w:p>
            <w:pPr/>
            <w:r>
              <w:t xml:space="preserve">17.1</w:t>
            </w:r>
          </w:p>
        </w:tc>
      </w:tr>
      <w:tr>
        <w:tc>
          <w:tcPr>
            <w:tcW w:w="2212" w:type="dxa"/>
          </w:tcPr>
          <w:p>
            <w:pPr/>
            <w:r>
              <w:t xml:space="preserve">1 Brown Dwarf</w:t>
            </w:r>
          </w:p>
        </w:tc>
        <w:tc>
          <w:tcPr>
            <w:tcW w:w="2125" w:type="dxa"/>
          </w:tcPr>
          <w:p>
            <w:pPr/>
            <w:r>
              <w:t xml:space="preserve">3,314</w:t>
            </w:r>
          </w:p>
        </w:tc>
        <w:tc>
          <w:tcPr>
            <w:tcW w:w="1252" w:type="dxa"/>
          </w:tcPr>
          <w:p>
            <w:pPr/>
            <w:r>
              <w:t xml:space="preserve">0.003</w:t>
            </w:r>
          </w:p>
        </w:tc>
        <w:tc>
          <w:tcPr>
            <w:tcW w:w="1252" w:type="dxa"/>
          </w:tcPr>
          <w:p>
            <w:pPr/>
            <w:r>
              <w:t xml:space="preserve">0.34</w:t>
            </w:r>
          </w:p>
        </w:tc>
        <w:tc>
          <w:tcPr>
            <w:tcW w:w="2515" w:type="dxa"/>
          </w:tcPr>
          <w:p>
            <w:pPr/>
            <w:r>
              <w:t xml:space="preserve">12.6</w:t>
            </w:r>
          </w:p>
        </w:tc>
      </w:tr>
      <w:tr>
        <w:tc>
          <w:tcPr>
            <w:tcW w:w="2212" w:type="dxa"/>
          </w:tcPr>
          <w:p>
            <w:pPr/>
            <w:r>
              <w:t xml:space="preserve">2 White Dwarf</w:t>
            </w:r>
          </w:p>
        </w:tc>
        <w:tc>
          <w:tcPr>
            <w:tcW w:w="2125" w:type="dxa"/>
          </w:tcPr>
          <w:p>
            <w:pPr/>
            <w:r>
              <w:t xml:space="preserve">13,380</w:t>
            </w:r>
          </w:p>
        </w:tc>
        <w:tc>
          <w:tcPr>
            <w:tcW w:w="1252" w:type="dxa"/>
          </w:tcPr>
          <w:p>
            <w:pPr/>
            <w:r>
              <w:t xml:space="preserve">0.0008</w:t>
            </w:r>
          </w:p>
        </w:tc>
        <w:tc>
          <w:tcPr>
            <w:tcW w:w="1252" w:type="dxa"/>
          </w:tcPr>
          <w:p>
            <w:pPr/>
            <w:r>
              <w:t xml:space="preserve">0.010</w:t>
            </w:r>
          </w:p>
        </w:tc>
        <w:tc>
          <w:tcPr>
            <w:tcW w:w="2515" w:type="dxa"/>
          </w:tcPr>
          <w:p>
            <w:pPr/>
            <w:r>
              <w:t xml:space="preserve">12.3</w:t>
            </w:r>
          </w:p>
        </w:tc>
      </w:tr>
      <w:tr>
        <w:tc>
          <w:tcPr>
            <w:tcW w:w="2212" w:type="dxa"/>
          </w:tcPr>
          <w:p>
            <w:pPr/>
            <w:r>
              <w:t xml:space="preserve">3 Main Sequence</w:t>
            </w:r>
          </w:p>
        </w:tc>
        <w:tc>
          <w:tcPr>
            <w:tcW w:w="2125" w:type="dxa"/>
          </w:tcPr>
          <w:p>
            <w:pPr/>
            <w:r>
              <w:t xml:space="preserve">12,561</w:t>
            </w:r>
          </w:p>
        </w:tc>
        <w:tc>
          <w:tcPr>
            <w:tcW w:w="1252" w:type="dxa"/>
          </w:tcPr>
          <w:p>
            <w:pPr/>
            <w:r>
              <w:t xml:space="preserve">739</w:t>
            </w:r>
          </w:p>
        </w:tc>
        <w:tc>
          <w:tcPr>
            <w:tcW w:w="1252" w:type="dxa"/>
          </w:tcPr>
          <w:p>
            <w:pPr/>
            <w:r>
              <w:t xml:space="preserve">5.7</w:t>
            </w:r>
          </w:p>
        </w:tc>
        <w:tc>
          <w:tcPr>
            <w:tcW w:w="2515" w:type="dxa"/>
          </w:tcPr>
          <w:p>
            <w:pPr/>
            <w:r>
              <w:t xml:space="preserve">-1.2</w:t>
            </w:r>
          </w:p>
        </w:tc>
      </w:tr>
      <w:tr>
        <w:tc>
          <w:tcPr>
            <w:tcW w:w="2212" w:type="dxa"/>
          </w:tcPr>
          <w:p>
            <w:pPr/>
            <w:r>
              <w:t xml:space="preserve">4 Super Giant</w:t>
            </w:r>
          </w:p>
        </w:tc>
        <w:tc>
          <w:tcPr>
            <w:tcW w:w="2125" w:type="dxa"/>
          </w:tcPr>
          <w:p>
            <w:pPr/>
            <w:r>
              <w:t xml:space="preserve">12,821</w:t>
            </w:r>
          </w:p>
        </w:tc>
        <w:tc>
          <w:tcPr>
            <w:tcW w:w="1252" w:type="dxa"/>
          </w:tcPr>
          <w:p>
            <w:pPr/>
            <w:r>
              <w:t xml:space="preserve">242,145</w:t>
            </w:r>
          </w:p>
        </w:tc>
        <w:tc>
          <w:tcPr>
            <w:tcW w:w="1252" w:type="dxa"/>
          </w:tcPr>
          <w:p>
            <w:pPr/>
            <w:r>
              <w:t xml:space="preserve">43.5</w:t>
            </w:r>
          </w:p>
        </w:tc>
        <w:tc>
          <w:tcPr>
            <w:tcW w:w="2515" w:type="dxa"/>
          </w:tcPr>
          <w:p>
            <w:pPr/>
            <w:r>
              <w:t xml:space="preserve">-6.2</w:t>
            </w:r>
          </w:p>
        </w:tc>
      </w:tr>
      <w:tr>
        <w:tc>
          <w:tcPr>
            <w:tcW w:w="2212" w:type="dxa"/>
          </w:tcPr>
          <w:p>
            <w:pPr/>
            <w:r>
              <w:t xml:space="preserve">5 Hyper Giant</w:t>
            </w:r>
          </w:p>
        </w:tc>
        <w:tc>
          <w:tcPr>
            <w:tcW w:w="2125" w:type="dxa"/>
          </w:tcPr>
          <w:p>
            <w:pPr/>
            <w:r>
              <w:t xml:space="preserve">3,766</w:t>
            </w:r>
          </w:p>
        </w:tc>
        <w:tc>
          <w:tcPr>
            <w:tcW w:w="1252" w:type="dxa"/>
          </w:tcPr>
          <w:p>
            <w:pPr/>
            <w:r>
              <w:t xml:space="preserve">266,500</w:t>
            </w:r>
          </w:p>
        </w:tc>
        <w:tc>
          <w:tcPr>
            <w:tcW w:w="1252" w:type="dxa"/>
          </w:tcPr>
          <w:p>
            <w:pPr/>
            <w:r>
              <w:t xml:space="preserve">1,353</w:t>
            </w:r>
          </w:p>
        </w:tc>
        <w:tc>
          <w:tcPr>
            <w:tcW w:w="2515" w:type="dxa"/>
          </w:tcPr>
          <w:p>
            <w:pPr/>
            <w:r>
              <w:t xml:space="preserve">-9.9</w:t>
            </w:r>
          </w:p>
        </w:tc>
      </w:tr>
    </w:tbl>
    <w:p>
      <w:pPr/>
      <w:r>
        <w:t xml:space="preserve">White dwarfs are hot but tiny and faint. Hyper giants are cool but enormous and extremely luminous. Red and brown dwarfs are cool and faint and differ mainly in radius and magnitude. Main sequence and super giant stars overlap in median temperature and are separated mainly by size and brightness.</w:t>
      </w:r>
    </w:p>
    <w:p>
      <w:pPr>
        <w:pStyle w:val="Heading2"/>
      </w:pPr>
      <w:r>
        <w:t xml:space="preserve">3. Methodology</w:t>
      </w:r>
    </w:p>
    <w:p>
      <w:pPr>
        <w:pStyle w:val="Heading3"/>
      </w:pPr>
      <w:r>
        <w:t xml:space="preserve">3.1 Cleaning</w:t>
      </w:r>
    </w:p>
    <w:p>
      <w:pPr/>
      <w:r>
        <w:t xml:space="preserve">Color strings were lowercased, hyphens were replaced with spaces, and variants were merged into eight categories: red (112), blue (56), blue-white (41), yellow-white (12), white (10), orange (4), yellow (3) and whitish (2). Spectral class was encoded as an ordinal variable following the temperature sequence O, B, A, F, G, K, M (0 to 6).</w:t>
      </w:r>
    </w:p>
    <w:p>
      <w:pPr>
        <w:pStyle w:val="Heading3"/>
      </w:pPr>
      <w:r>
        <w:t xml:space="preserve">3.2 Feature engineering</w:t>
      </w:r>
    </w:p>
    <w:p>
      <w:pPr>
        <w:pStyle w:val="ListParagraph"/>
        <w:numPr>
          <w:ilvl w:val="0"/>
          <w:numId w:val="4"/>
        </w:numPr>
      </w:pPr>
      <w:r>
        <w:t xml:space="preserve">Base-10 logarithms of luminosity, radius and temperature (logL, logR, logT), to handle the very wide numeric ranges.</w:t>
      </w:r>
    </w:p>
    <w:p>
      <w:pPr>
        <w:pStyle w:val="ListParagraph"/>
        <w:numPr>
          <w:ilvl w:val="0"/>
          <w:numId w:val="4"/>
        </w:numPr>
      </w:pPr>
      <w:r>
        <w:t xml:space="preserve">One-hot encoded cleaned color.</w:t>
      </w:r>
    </w:p>
    <w:p>
      <w:pPr>
        <w:pStyle w:val="ListParagraph"/>
        <w:numPr>
          <w:ilvl w:val="0"/>
          <w:numId w:val="4"/>
        </w:numPr>
      </w:pPr>
      <w:r>
        <w:t xml:space="preserve">Ordinal spectral class.</w:t>
      </w:r>
    </w:p>
    <w:p>
      <w:pPr>
        <w:pStyle w:val="ListParagraph"/>
        <w:numPr>
          <w:ilvl w:val="0"/>
          <w:numId w:val="4"/>
        </w:numPr>
      </w:pPr>
      <w:r>
        <w:t xml:space="preserve">Absolute magnitude kept as provided.</w:t>
      </w:r>
    </w:p>
    <w:p>
      <w:pPr>
        <w:pStyle w:val="Heading3"/>
      </w:pPr>
      <w:r>
        <w:t xml:space="preserve">3.3 Models</w:t>
      </w:r>
    </w:p>
    <w:p>
      <w:pPr/>
      <w:r>
        <w:t xml:space="preserve">Six models were compared with default hyperparameters: a majority-class baseline, logistic regression, k-nearest neighbors (k = 5), a support vector machine with RBF kernel, a random forest (300 trees), and gradient boosting. Distance-based models and logistic regression were wrapped in a pipeline with standard scaling so that scaling is fitted only on training folds.</w:t>
      </w:r>
    </w:p>
    <w:p>
      <w:pPr>
        <w:pStyle w:val="Heading3"/>
      </w:pPr>
      <w:r>
        <w:t xml:space="preserve">3.4 Evaluation protocol</w:t>
      </w:r>
    </w:p>
    <w:p>
      <w:pPr/>
      <w:r>
        <w:t xml:space="preserve">With only 240 samples, a single train/test split gives unstable estimates. Models were evaluated with 5-fold stratified cross-validation repeated 3 times (15 fits per model, random seed 42). We report mean accuracy, standard deviation across folds, and macro F1. A separate stratified 80/20 hold-out split and a cross-validated confusion matrix were used for error analysis.</w:t>
      </w:r>
    </w:p>
    <w:p>
      <w:pPr>
        <w:pStyle w:val="Heading3"/>
      </w:pPr>
      <w:r>
        <w:t xml:space="preserve">3.5 Physics consistency check</w:t>
      </w:r>
    </w:p>
    <w:p>
      <w:pPr/>
      <w:r>
        <w:t xml:space="preserve">For a star radiating as a blackbody, luminosity follows the Stefan-Boltzmann law. In solar units this is L = R^2 x (T / 5772 K)^4. We computed this predicted luminosity for every star and compared it with the dataset's L column on a log scale. We also fitted a line between absolute magnitude and log luminosity, because astrophysical theory predicts a slope of about -2.5.</w:t>
      </w:r>
    </w:p>
    <w:p>
      <w:pPr>
        <w:pStyle w:val="Heading2"/>
      </w:pPr>
      <w:r>
        <w:t xml:space="preserve">4. Results</w:t>
      </w:r>
    </w:p>
    <w:p>
      <w:pPr>
        <w:pStyle w:val="Heading3"/>
      </w:pPr>
      <w:r>
        <w:t xml:space="preserve">4.1 Model comparison</w:t>
      </w:r>
    </w:p>
    <w:p>
      <w:pPr/>
      <w:r>
        <w:t xml:space="preserve">All results use all engineered features and repeated stratified cross-validation.</w:t>
      </w:r>
    </w:p>
    <w:tbl>
      <w:tblPr>
        <w:tblStyle w:val="TableGrid"/>
        <w:tblW w:w="0" w:type="auto"/>
        <w:tblLayout w:type="fixed"/>
        <w:tblLook w:val="04A0" w:firstRow="1" w:lastRow="0" w:firstColumn="0" w:lastColumn="0" w:noHBand="0" w:noVBand="1"/>
      </w:tblPr>
      <w:tblGrid>
        <w:gridCol w:w="3422"/>
        <w:gridCol w:w="4067"/>
        <w:gridCol w:w="1869"/>
      </w:tblGrid>
      <w:tr>
        <w:trPr>
          <w:tblHeader/>
        </w:trPr>
        <w:tc>
          <w:tcPr>
            <w:tcW w:w="3422" w:type="dxa"/>
            <w:shd w:val="clear" w:color="auto" w:fill="F2F2F2"/>
          </w:tcPr>
          <w:p>
            <w:pPr/>
            <w:r>
              <w:t xml:space="preserve">Model</w:t>
            </w:r>
          </w:p>
        </w:tc>
        <w:tc>
          <w:tcPr>
            <w:tcW w:w="4067" w:type="dxa"/>
            <w:shd w:val="clear" w:color="auto" w:fill="F2F2F2"/>
          </w:tcPr>
          <w:p>
            <w:pPr/>
            <w:r>
              <w:t xml:space="preserve">Accuracy (mean ± std)</w:t>
            </w:r>
          </w:p>
        </w:tc>
        <w:tc>
          <w:tcPr>
            <w:tcW w:w="1869" w:type="dxa"/>
            <w:shd w:val="clear" w:color="auto" w:fill="F2F2F2"/>
          </w:tcPr>
          <w:p>
            <w:pPr/>
            <w:r>
              <w:t xml:space="preserve">Macro F1</w:t>
            </w:r>
          </w:p>
        </w:tc>
      </w:tr>
      <w:tr>
        <w:tc>
          <w:tcPr>
            <w:tcW w:w="3422" w:type="dxa"/>
          </w:tcPr>
          <w:p>
            <w:pPr/>
            <w:r>
              <w:t xml:space="preserve">Majority baseline</w:t>
            </w:r>
          </w:p>
        </w:tc>
        <w:tc>
          <w:tcPr>
            <w:tcW w:w="4067" w:type="dxa"/>
          </w:tcPr>
          <w:p>
            <w:pPr/>
            <w:r>
              <w:t xml:space="preserve">0.167 ± 0.000</w:t>
            </w:r>
          </w:p>
        </w:tc>
        <w:tc>
          <w:tcPr>
            <w:tcW w:w="1869" w:type="dxa"/>
          </w:tcPr>
          <w:p>
            <w:pPr/>
            <w:r>
              <w:t xml:space="preserve">0.048</w:t>
            </w:r>
          </w:p>
        </w:tc>
      </w:tr>
      <w:tr>
        <w:tc>
          <w:tcPr>
            <w:tcW w:w="3422" w:type="dxa"/>
          </w:tcPr>
          <w:p>
            <w:pPr/>
            <w:r>
              <w:t xml:space="preserve">Logistic regression</w:t>
            </w:r>
          </w:p>
        </w:tc>
        <w:tc>
          <w:tcPr>
            <w:tcW w:w="4067" w:type="dxa"/>
          </w:tcPr>
          <w:p>
            <w:pPr/>
            <w:r>
              <w:t xml:space="preserve">0.964 ± 0.029</w:t>
            </w:r>
          </w:p>
        </w:tc>
        <w:tc>
          <w:tcPr>
            <w:tcW w:w="1869" w:type="dxa"/>
          </w:tcPr>
          <w:p>
            <w:pPr/>
            <w:r>
              <w:t xml:space="preserve">0.964</w:t>
            </w:r>
          </w:p>
        </w:tc>
      </w:tr>
      <w:tr>
        <w:tc>
          <w:tcPr>
            <w:tcW w:w="3422" w:type="dxa"/>
          </w:tcPr>
          <w:p>
            <w:pPr/>
            <w:r>
              <w:t xml:space="preserve">k-NN (k = 5)</w:t>
            </w:r>
          </w:p>
        </w:tc>
        <w:tc>
          <w:tcPr>
            <w:tcW w:w="4067" w:type="dxa"/>
          </w:tcPr>
          <w:p>
            <w:pPr/>
            <w:r>
              <w:t xml:space="preserve">0.946 ± 0.032</w:t>
            </w:r>
          </w:p>
        </w:tc>
        <w:tc>
          <w:tcPr>
            <w:tcW w:w="1869" w:type="dxa"/>
          </w:tcPr>
          <w:p>
            <w:pPr/>
            <w:r>
              <w:t xml:space="preserve">0.945</w:t>
            </w:r>
          </w:p>
        </w:tc>
      </w:tr>
      <w:tr>
        <w:tc>
          <w:tcPr>
            <w:tcW w:w="3422" w:type="dxa"/>
          </w:tcPr>
          <w:p>
            <w:pPr/>
            <w:r>
              <w:t xml:space="preserve">SVM (RBF)</w:t>
            </w:r>
          </w:p>
        </w:tc>
        <w:tc>
          <w:tcPr>
            <w:tcW w:w="4067" w:type="dxa"/>
          </w:tcPr>
          <w:p>
            <w:pPr/>
            <w:r>
              <w:t xml:space="preserve">0.924 ± 0.053</w:t>
            </w:r>
          </w:p>
        </w:tc>
        <w:tc>
          <w:tcPr>
            <w:tcW w:w="1869" w:type="dxa"/>
          </w:tcPr>
          <w:p>
            <w:pPr/>
            <w:r>
              <w:t xml:space="preserve">0.924</w:t>
            </w:r>
          </w:p>
        </w:tc>
      </w:tr>
      <w:tr>
        <w:tc>
          <w:tcPr>
            <w:tcW w:w="3422" w:type="dxa"/>
          </w:tcPr>
          <w:p>
            <w:pPr/>
            <w:r>
              <w:t xml:space="preserve">Gradient boosting</w:t>
            </w:r>
          </w:p>
        </w:tc>
        <w:tc>
          <w:tcPr>
            <w:tcW w:w="4067" w:type="dxa"/>
          </w:tcPr>
          <w:p>
            <w:pPr/>
            <w:r>
              <w:t xml:space="preserve">0.990 ± 0.020</w:t>
            </w:r>
          </w:p>
        </w:tc>
        <w:tc>
          <w:tcPr>
            <w:tcW w:w="1869" w:type="dxa"/>
          </w:tcPr>
          <w:p>
            <w:pPr/>
            <w:r>
              <w:t xml:space="preserve">0.990</w:t>
            </w:r>
          </w:p>
        </w:tc>
      </w:tr>
      <w:tr>
        <w:tc>
          <w:tcPr>
            <w:tcW w:w="3422" w:type="dxa"/>
          </w:tcPr>
          <w:p>
            <w:pPr/>
            <w:r>
              <w:t xml:space="preserve">Random forest</w:t>
            </w:r>
          </w:p>
        </w:tc>
        <w:tc>
          <w:tcPr>
            <w:tcW w:w="4067" w:type="dxa"/>
          </w:tcPr>
          <w:p>
            <w:pPr/>
            <w:r>
              <w:t xml:space="preserve">1.000 ± 0.000</w:t>
            </w:r>
          </w:p>
        </w:tc>
        <w:tc>
          <w:tcPr>
            <w:tcW w:w="1869" w:type="dxa"/>
          </w:tcPr>
          <w:p>
            <w:pPr/>
            <w:r>
              <w:t xml:space="preserve">1.000</w:t>
            </w:r>
          </w:p>
        </w:tc>
      </w:tr>
    </w:tbl>
    <w:p>
      <w:pPr/>
      <w:r>
        <w:t xml:space="preserve">Every model far exceeds the baseline. The random forest classified all 240 stars correctly in every fold, and on the hold-out split it scored 100% accuracy (the 6 x 6 confusion matrix is purely diagonal). Smooth distance- and margin-based models score slightly lower, which is consistent with class boundaries that are better described by axis-aligned thresholds on features such as radius and magnitude.</w:t>
      </w:r>
    </w:p>
    <w:p>
      <w:pPr>
        <w:pStyle w:val="Heading3"/>
      </w:pPr>
      <w:r>
        <w:t xml:space="preserve">4.2 Ablation study</w:t>
      </w:r>
    </w:p>
    <w:p>
      <w:pPr/>
      <w:r>
        <w:t xml:space="preserve">To find which features actually matter, a random forest was retrained on feature subsets under the same cross-validation scheme.</w:t>
      </w:r>
    </w:p>
    <w:tbl>
      <w:tblPr>
        <w:tblStyle w:val="TableGrid"/>
        <w:tblW w:w="0" w:type="auto"/>
        <w:tblLayout w:type="fixed"/>
        <w:tblLook w:val="04A0" w:firstRow="1" w:lastRow="0" w:firstColumn="0" w:lastColumn="0" w:noHBand="0" w:noVBand="1"/>
      </w:tblPr>
      <w:tblGrid>
        <w:gridCol w:w="5874"/>
        <w:gridCol w:w="3485"/>
      </w:tblGrid>
      <w:tr>
        <w:trPr>
          <w:tblHeader/>
        </w:trPr>
        <w:tc>
          <w:tcPr>
            <w:tcW w:w="5874" w:type="dxa"/>
            <w:shd w:val="clear" w:color="auto" w:fill="F2F2F2"/>
          </w:tcPr>
          <w:p>
            <w:pPr/>
            <w:r>
              <w:t xml:space="preserve">Feature subset</w:t>
            </w:r>
          </w:p>
        </w:tc>
        <w:tc>
          <w:tcPr>
            <w:tcW w:w="3485" w:type="dxa"/>
            <w:shd w:val="clear" w:color="auto" w:fill="F2F2F2"/>
          </w:tcPr>
          <w:p>
            <w:pPr/>
            <w:r>
              <w:t xml:space="preserve">Accuracy (mean ± std)</w:t>
            </w:r>
          </w:p>
        </w:tc>
      </w:tr>
      <w:tr>
        <w:tc>
          <w:tcPr>
            <w:tcW w:w="5874" w:type="dxa"/>
          </w:tcPr>
          <w:p>
            <w:pPr/>
            <w:r>
              <w:t xml:space="preserve">logL + logT</w:t>
            </w:r>
          </w:p>
        </w:tc>
        <w:tc>
          <w:tcPr>
            <w:tcW w:w="3485" w:type="dxa"/>
          </w:tcPr>
          <w:p>
            <w:pPr/>
            <w:r>
              <w:t xml:space="preserve">0.832 ± 0.038</w:t>
            </w:r>
          </w:p>
        </w:tc>
      </w:tr>
      <w:tr>
        <w:tc>
          <w:tcPr>
            <w:tcW w:w="5874" w:type="dxa"/>
          </w:tcPr>
          <w:p>
            <w:pPr/>
            <w:r>
              <w:t xml:space="preserve">logL + logR + logT</w:t>
            </w:r>
          </w:p>
        </w:tc>
        <w:tc>
          <w:tcPr>
            <w:tcW w:w="3485" w:type="dxa"/>
          </w:tcPr>
          <w:p>
            <w:pPr/>
            <w:r>
              <w:t xml:space="preserve">0.967 ± 0.020</w:t>
            </w:r>
          </w:p>
        </w:tc>
      </w:tr>
      <w:tr>
        <w:tc>
          <w:tcPr>
            <w:tcW w:w="5874" w:type="dxa"/>
          </w:tcPr>
          <w:p>
            <w:pPr/>
            <w:r>
              <w:t xml:space="preserve">logT + absolute magnitude</w:t>
            </w:r>
          </w:p>
        </w:tc>
        <w:tc>
          <w:tcPr>
            <w:tcW w:w="3485" w:type="dxa"/>
          </w:tcPr>
          <w:p>
            <w:pPr/>
            <w:r>
              <w:t xml:space="preserve">0.997 ± 0.007</w:t>
            </w:r>
          </w:p>
        </w:tc>
      </w:tr>
      <w:tr>
        <w:tc>
          <w:tcPr>
            <w:tcW w:w="5874" w:type="dxa"/>
          </w:tcPr>
          <w:p>
            <w:pPr/>
            <w:r>
              <w:t xml:space="preserve">logL + logR + logT + absolute magnitude</w:t>
            </w:r>
          </w:p>
        </w:tc>
        <w:tc>
          <w:tcPr>
            <w:tcW w:w="3485" w:type="dxa"/>
          </w:tcPr>
          <w:p>
            <w:pPr/>
            <w:r>
              <w:t xml:space="preserve">1.000 ± 0.000</w:t>
            </w:r>
          </w:p>
        </w:tc>
      </w:tr>
      <w:tr>
        <w:tc>
          <w:tcPr>
            <w:tcW w:w="5874" w:type="dxa"/>
          </w:tcPr>
          <w:p>
            <w:pPr/>
            <w:r>
              <w:t xml:space="preserve">Everything except absolute magnitude</w:t>
            </w:r>
          </w:p>
        </w:tc>
        <w:tc>
          <w:tcPr>
            <w:tcW w:w="3485" w:type="dxa"/>
          </w:tcPr>
          <w:p>
            <w:pPr/>
            <w:r>
              <w:t xml:space="preserve">0.968 ± 0.023</w:t>
            </w:r>
          </w:p>
        </w:tc>
      </w:tr>
      <w:tr>
        <w:tc>
          <w:tcPr>
            <w:tcW w:w="5874" w:type="dxa"/>
          </w:tcPr>
          <w:p>
            <w:pPr/>
            <w:r>
              <w:t xml:space="preserve">Color + spectral class only</w:t>
            </w:r>
          </w:p>
        </w:tc>
        <w:tc>
          <w:tcPr>
            <w:tcW w:w="3485" w:type="dxa"/>
          </w:tcPr>
          <w:p>
            <w:pPr/>
            <w:r>
              <w:t xml:space="preserve">0.511 ± 0.045</w:t>
            </w:r>
          </w:p>
        </w:tc>
      </w:tr>
    </w:tbl>
    <w:p>
      <w:pPr/>
      <w:r>
        <w:t xml:space="preserve">Key observations:</w:t>
      </w:r>
    </w:p>
    <w:p>
      <w:pPr>
        <w:pStyle w:val="ListParagraph"/>
        <w:numPr>
          <w:ilvl w:val="0"/>
          <w:numId w:val="5"/>
        </w:numPr>
      </w:pPr>
      <w:r>
        <w:t xml:space="preserve">Temperature and luminosity alone, the two axes of the classic HR diagram, support 83% accuracy. Adding radius lifts this to nearly 97%.</w:t>
      </w:r>
    </w:p>
    <w:p>
      <w:pPr>
        <w:pStyle w:val="ListParagraph"/>
        <w:numPr>
          <w:ilvl w:val="0"/>
          <w:numId w:val="5"/>
        </w:numPr>
      </w:pPr>
      <w:r>
        <w:t xml:space="preserve">Absolute magnitude plus temperature is almost enough on its own (99.7%).</w:t>
      </w:r>
    </w:p>
    <w:p>
      <w:pPr>
        <w:pStyle w:val="ListParagraph"/>
        <w:numPr>
          <w:ilvl w:val="0"/>
          <w:numId w:val="5"/>
        </w:numPr>
      </w:pPr>
      <w:r>
        <w:t xml:space="preserve">Color and spectral class by themselves are weak (51%), because they mainly encode temperature and cannot distinguish a white dwarf from a main sequence star of similar temperature.</w:t>
      </w:r>
    </w:p>
    <w:p>
      <w:pPr>
        <w:pStyle w:val="ListParagraph"/>
        <w:numPr>
          <w:ilvl w:val="0"/>
          <w:numId w:val="5"/>
        </w:numPr>
      </w:pPr>
      <w:r>
        <w:t xml:space="preserve">Random forest feature importances agree: absolute magnitude (0.29), radius (0.28) and luminosity (0.18) dominate, followed by temperature (0.09) and spectral class (0.07).</w:t>
      </w:r>
    </w:p>
    <w:p>
      <w:pPr>
        <w:pStyle w:val="Heading3"/>
      </w:pPr>
      <w:r>
        <w:t xml:space="preserve">4.3 Physics consistency check</w:t>
      </w:r>
    </w:p>
    <w:p>
      <w:pPr/>
      <w:r>
        <w:t xml:space="preserve">Two findings stand out.</w:t>
      </w:r>
    </w:p>
    <w:p>
      <w:pPr>
        <w:pStyle w:val="ListParagraph"/>
        <w:numPr>
          <w:ilvl w:val="0"/>
          <w:numId w:val="6"/>
        </w:numPr>
      </w:pPr>
      <w:r>
        <w:rPr>
          <w:b/>
        </w:rPr>
        <w:t xml:space="preserve">Luminosity and magnitude are nearly redundant.</w:t>
      </w:r>
      <w:r>
        <w:t xml:space="preserve"> The correlation between absolute magnitude and log luminosity is -0.98, and the fitted relation is A_M = -2.59 x logL + 6.22. The slope is close to the theoretical -2.5, so these two columns carry largely the same information.</w:t>
      </w:r>
    </w:p>
    <w:p>
      <w:pPr>
        <w:pStyle w:val="ListParagraph"/>
        <w:numPr>
          <w:ilvl w:val="0"/>
          <w:numId w:val="6"/>
        </w:numPr>
      </w:pPr>
      <w:r>
        <w:rPr>
          <w:b/>
        </w:rPr>
        <w:t xml:space="preserve">Luminosity does not follow the Stefan-Boltzmann law in this dataset.</w:t>
      </w:r>
      <w:r>
        <w:t xml:space="preserve"> The log10 ratio between the recorded luminosity and the value predicted from R and T has a mean of -0.29, a standard deviation of 1.15 dex, and a maximum absolute deviation of 4.3 dex. A physically consistent dataset would show a ratio near zero with small scatter. The dataset's values therefore cannot all come from real, self-consistent measurements.</w:t>
      </w:r>
    </w:p>
    <w:p>
      <w:pPr>
        <w:pStyle w:val="Heading2"/>
      </w:pPr>
      <w:r>
        <w:t xml:space="preserve">5. Discussion</w:t>
      </w:r>
    </w:p>
    <w:p>
      <w:pPr>
        <w:pStyle w:val="Heading3"/>
      </w:pPr>
      <w:r>
        <w:t xml:space="preserve">5.1 Why is the problem easy?</w:t>
      </w:r>
    </w:p>
    <w:p>
      <w:pPr/>
      <w:r>
        <w:t xml:space="preserve">Three factors combine. The classes are balanced and occupy well-separated regions in radius and magnitude space. Redundant features (luminosity and magnitude) give the model the same strong signal twice. And the dataset is small, so a flexible model such as a random forest can partition the space almost perfectly. An accuracy near 100% on 240 samples should not be expected to carry over to real stellar catalogs.</w:t>
      </w:r>
    </w:p>
    <w:p>
      <w:pPr>
        <w:pStyle w:val="Heading3"/>
      </w:pPr>
      <w:r>
        <w:t xml:space="preserve">5.2 Where one might expect confusion</w:t>
      </w:r>
    </w:p>
    <w:p>
      <w:pPr/>
      <w:r>
        <w:t xml:space="preserve">Before running the models, we anticipated errors between astrophysically adjacent classes, such as super giants versus hyper giants or red versus brown dwarfs. The cross-validated confusion matrix for the random forest showed none: all 240 predictions were correct. The ablation results show that confusion appears only when radius and magnitude are withheld, because the temperature-luminosity plane alone leaves the classes partially overlapping.</w:t>
      </w:r>
    </w:p>
    <w:p>
      <w:pPr>
        <w:pStyle w:val="Heading3"/>
      </w:pPr>
      <w:r>
        <w:t xml:space="preserve">5.3 Interpreting the model</w:t>
      </w:r>
    </w:p>
    <w:p>
      <w:pPr/>
      <w:r>
        <w:t xml:space="preserve">The feature importances are astrophysically sensible. Size (radius) and brightness (magnitude, luminosity) separate dwarfs, main sequence stars and giants, while temperature separates the hot white dwarfs from the cool dwarfs and hyper giants. Color and spectral class are informative mainly as noisy proxies for temperature.</w:t>
      </w:r>
    </w:p>
    <w:p>
      <w:pPr>
        <w:pStyle w:val="Heading2"/>
      </w:pPr>
      <w:r>
        <w:t xml:space="preserve">6. Limitations</w:t>
      </w:r>
    </w:p>
    <w:p>
      <w:pPr>
        <w:pStyle w:val="ListParagraph"/>
        <w:numPr>
          <w:ilvl w:val="0"/>
          <w:numId w:val="7"/>
        </w:numPr>
      </w:pPr>
      <w:r>
        <w:rPr>
          <w:b/>
        </w:rPr>
        <w:t xml:space="preserve">Small sample.</w:t>
      </w:r>
      <w:r>
        <w:t xml:space="preserve"> With 240 stars, estimates have wide uncertainty, and rare real-world cases are not represented.</w:t>
      </w:r>
    </w:p>
    <w:p>
      <w:pPr>
        <w:pStyle w:val="ListParagraph"/>
        <w:numPr>
          <w:ilvl w:val="0"/>
          <w:numId w:val="7"/>
        </w:numPr>
      </w:pPr>
      <w:r>
        <w:rPr>
          <w:b/>
        </w:rPr>
        <w:t xml:space="preserve">Artificial balance.</w:t>
      </w:r>
      <w:r>
        <w:t xml:space="preserve"> Real stellar populations are dominated by red dwarfs. A balanced test set says nothing about performance on realistic class frequencies.</w:t>
      </w:r>
    </w:p>
    <w:p>
      <w:pPr>
        <w:pStyle w:val="ListParagraph"/>
        <w:numPr>
          <w:ilvl w:val="0"/>
          <w:numId w:val="7"/>
        </w:numPr>
      </w:pPr>
      <w:r>
        <w:rPr>
          <w:b/>
        </w:rPr>
        <w:t xml:space="preserve">Physical inconsistency.</w:t>
      </w:r>
      <w:r>
        <w:t xml:space="preserve"> The Stefan-Boltzmann check shows the data is not physically self-consistent, so results describe this dataset rather than real stars.</w:t>
      </w:r>
    </w:p>
    <w:p>
      <w:pPr>
        <w:pStyle w:val="ListParagraph"/>
        <w:numPr>
          <w:ilvl w:val="0"/>
          <w:numId w:val="7"/>
        </w:numPr>
      </w:pPr>
      <w:r>
        <w:rPr>
          <w:b/>
        </w:rPr>
        <w:t xml:space="preserve">Feature redundancy and proxy features.</w:t>
      </w:r>
      <w:r>
        <w:t xml:space="preserve"> Absolute magnitude duplicates luminosity, and color and spectral class are derived from temperature.</w:t>
      </w:r>
    </w:p>
    <w:p>
      <w:pPr>
        <w:pStyle w:val="ListParagraph"/>
        <w:numPr>
          <w:ilvl w:val="0"/>
          <w:numId w:val="7"/>
        </w:numPr>
      </w:pPr>
      <w:r>
        <w:rPr>
          <w:b/>
        </w:rPr>
        <w:t xml:space="preserve">Untuned models.</w:t>
      </w:r>
      <w:r>
        <w:t xml:space="preserve"> Default hyperparameters were used. Tuning is unlikely to help where performance is already saturated, but would matter for the weaker models.</w:t>
      </w:r>
    </w:p>
    <w:p>
      <w:pPr>
        <w:pStyle w:val="ListParagraph"/>
        <w:numPr>
          <w:ilvl w:val="0"/>
          <w:numId w:val="7"/>
        </w:numPr>
      </w:pPr>
      <w:r>
        <w:rPr>
          <w:b/>
        </w:rPr>
        <w:t xml:space="preserve">No external validation.</w:t>
      </w:r>
      <w:r>
        <w:t xml:space="preserve"> The model has not been tested on independent data.</w:t>
      </w:r>
    </w:p>
    <w:p>
      <w:pPr>
        <w:pStyle w:val="Heading2"/>
      </w:pPr>
      <w:r>
        <w:t xml:space="preserve">7. Reproducibility and project structure</w:t>
      </w:r>
    </w:p>
    <w:p>
      <w:pPr>
        <w:pStyle w:val="Code"/>
      </w:pPr>
      <w:r>
        <w:t xml:space="preserve">star-classification/</w:t>
        <w:br/>
        <w:t xml:space="preserve">  data/            Stars.csv (raw) and cleaned data</w:t>
        <w:br/>
        <w:t xml:space="preserve">  notebooks/       01_eda.ipynb, 02_modeling.ipynb, 03_explainability.ipynb</w:t>
        <w:br/>
        <w:t xml:space="preserve">  src/             cleaning, features, training, evaluation modules</w:t>
        <w:br/>
        <w:t xml:space="preserve">  app/             Streamlit application</w:t>
        <w:br/>
        <w:t xml:space="preserve">  models/          saved model (joblib)</w:t>
        <w:br/>
        <w:t xml:space="preserve">  reports/figures/ HR diagram, confusion matrices, SHAP plots</w:t>
        <w:br/>
        <w:t xml:space="preserve">  requirements.txt</w:t>
        <w:br/>
        <w:t xml:space="preserve">  README.md</w:t>
      </w:r>
    </w:p>
    <w:p>
      <w:pPr/>
      <w:r>
        <w:t xml:space="preserve">Environment: Python 3.11+, pandas, numpy, matplotlib, seaborn, plotly, scikit-learn, XGBoost or LightGBM, SHAP, Streamlit, joblib. All experiments use random seed 42 and stratified splits, so results can be regenerated exactly.</w:t>
      </w:r>
    </w:p>
    <w:p>
      <w:pPr>
        <w:pStyle w:val="Heading2"/>
      </w:pPr>
      <w:r>
        <w:t xml:space="preserve">8. Future work</w:t>
      </w:r>
    </w:p>
    <w:p>
      <w:pPr>
        <w:pStyle w:val="ListParagraph"/>
        <w:numPr>
          <w:ilvl w:val="0"/>
          <w:numId w:val="8"/>
        </w:numPr>
      </w:pPr>
      <w:r>
        <w:t xml:space="preserve">Validate on a larger real catalog such as Gaia, accessed through astroquery, using realistic class proportions.</w:t>
      </w:r>
    </w:p>
    <w:p>
      <w:pPr>
        <w:pStyle w:val="ListParagraph"/>
        <w:numPr>
          <w:ilvl w:val="0"/>
          <w:numId w:val="8"/>
        </w:numPr>
      </w:pPr>
      <w:r>
        <w:t xml:space="preserve">Remove redundant features and measure performance with a minimal, physically motivated feature set.</w:t>
      </w:r>
    </w:p>
    <w:p>
      <w:pPr>
        <w:pStyle w:val="ListParagraph"/>
        <w:numPr>
          <w:ilvl w:val="0"/>
          <w:numId w:val="8"/>
        </w:numPr>
      </w:pPr>
      <w:r>
        <w:t xml:space="preserve">Add SHAP explanations to the application so each prediction is justified.</w:t>
      </w:r>
    </w:p>
    <w:p>
      <w:pPr>
        <w:pStyle w:val="ListParagraph"/>
        <w:numPr>
          <w:ilvl w:val="0"/>
          <w:numId w:val="8"/>
        </w:numPr>
      </w:pPr>
      <w:r>
        <w:t xml:space="preserve">Test an unsupervised approach (k-means or Gaussian mixtures on logL and logT) to see whether natural clusters match the labels.</w:t>
      </w:r>
    </w:p>
    <w:p>
      <w:pPr>
        <w:pStyle w:val="ListParagraph"/>
        <w:numPr>
          <w:ilvl w:val="0"/>
          <w:numId w:val="8"/>
        </w:numPr>
      </w:pPr>
      <w:r>
        <w:t xml:space="preserve">Extend to regression, for example predicting radius from temperature and luminosity.</w:t>
      </w:r>
    </w:p>
    <w:p>
      <w:pPr>
        <w:pStyle w:val="Heading2"/>
      </w:pPr>
      <w:r>
        <w:t xml:space="preserve">9. Conclusion</w:t>
      </w:r>
    </w:p>
    <w:p>
      <w:pPr/>
      <w:r>
        <w:t xml:space="preserve">Star types can be predicted from a handful of physical properties with accuracy between 92% and 100% on this dataset, depending on the model. The more important finding is why: radius and absolute magnitude separate the classes almost completely, temperature and luminosity alone are not sufficient, and color and spectral class add little beyond temperature. The dataset also fails a basic physical consistency test, so the headline accuracy should be treated as a property of this particular dataset. Presenting both the strong results and their limits is the main value of this project as a portfolio piece.</w:t>
      </w:r>
    </w:p>
    <w:p>
      <w:pPr>
        <w:pStyle w:val="Heading2"/>
      </w:pPr>
      <w:r>
        <w:t xml:space="preserve">Appendix A: Glossary</w:t>
      </w:r>
    </w:p>
    <w:p>
      <w:pPr>
        <w:pStyle w:val="ListParagraph"/>
        <w:numPr>
          <w:ilvl w:val="0"/>
          <w:numId w:val="9"/>
        </w:numPr>
      </w:pPr>
      <w:r>
        <w:rPr>
          <w:b/>
        </w:rPr>
        <w:t xml:space="preserve">HR diagram:</w:t>
      </w:r>
      <w:r>
        <w:t xml:space="preserve"> a plot of stellar luminosity against surface temperature.</w:t>
      </w:r>
    </w:p>
    <w:p>
      <w:pPr>
        <w:pStyle w:val="ListParagraph"/>
        <w:numPr>
          <w:ilvl w:val="0"/>
          <w:numId w:val="9"/>
        </w:numPr>
      </w:pPr>
      <w:r>
        <w:rPr>
          <w:b/>
        </w:rPr>
        <w:t xml:space="preserve">Main sequence:</w:t>
      </w:r>
      <w:r>
        <w:t xml:space="preserve"> the long stage in which a star fuses hydrogen in its core.</w:t>
      </w:r>
    </w:p>
    <w:p>
      <w:pPr>
        <w:pStyle w:val="ListParagraph"/>
        <w:numPr>
          <w:ilvl w:val="0"/>
          <w:numId w:val="9"/>
        </w:numPr>
      </w:pPr>
      <w:r>
        <w:rPr>
          <w:b/>
        </w:rPr>
        <w:t xml:space="preserve">Absolute magnitude (Mv):</w:t>
      </w:r>
      <w:r>
        <w:t xml:space="preserve"> a star's brightness at a standard distance of 10 parsecs. Lower values are brighter.</w:t>
      </w:r>
    </w:p>
    <w:p>
      <w:pPr>
        <w:pStyle w:val="ListParagraph"/>
        <w:numPr>
          <w:ilvl w:val="0"/>
          <w:numId w:val="9"/>
        </w:numPr>
      </w:pPr>
      <w:r>
        <w:rPr>
          <w:b/>
        </w:rPr>
        <w:t xml:space="preserve">Stefan-Boltzmann law:</w:t>
      </w:r>
      <w:r>
        <w:t xml:space="preserve"> luminosity of a blackbody scales with radius squared and temperature to the fourth power.</w:t>
      </w:r>
    </w:p>
    <w:p>
      <w:pPr>
        <w:pStyle w:val="ListParagraph"/>
        <w:numPr>
          <w:ilvl w:val="0"/>
          <w:numId w:val="9"/>
        </w:numPr>
      </w:pPr>
      <w:r>
        <w:rPr>
          <w:b/>
        </w:rPr>
        <w:t xml:space="preserve">Stratified cross-validation:</w:t>
      </w:r>
      <w:r>
        <w:t xml:space="preserve"> a resampling method that keeps class proportions equal in every fold.</w:t>
      </w:r>
    </w:p>
    <w:p>
      <w:pPr>
        <w:pStyle w:val="ListParagraph"/>
        <w:numPr>
          <w:ilvl w:val="0"/>
          <w:numId w:val="9"/>
        </w:numPr>
      </w:pPr>
      <w:r>
        <w:rPr>
          <w:b/>
        </w:rPr>
        <w:t xml:space="preserve">Ablation study:</w:t>
      </w:r>
      <w:r>
        <w:t xml:space="preserve"> an experiment that removes components (here, features) to measure their contribution.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Star Type Classification from Physical Properties</dc:title>
  <dc:description>Claude Docs node/bdd8652d-aea3@1 docx-w7</dc:description>
  <cp:revision>1</cp:revision>
</cp:coreProperties>
</file>