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gif" ContentType="image/gi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00. Konfiguracja Power BI</w:t>
      </w:r>
    </w:p>
    <w:bookmarkStart w:id="17" w:name="przygotowanie-środowiska-power-bi"/>
    <w:p>
      <w:pPr>
        <w:pStyle w:val="Heading1"/>
      </w:pPr>
      <w:r>
        <w:t xml:space="preserve">Przygotowanie środowiska Power BI</w:t>
      </w:r>
    </w:p>
    <w:bookmarkStart w:id="16" w:name="ustawienia-programu-power-bi"/>
    <w:p>
      <w:pPr>
        <w:pStyle w:val="Heading2"/>
      </w:pPr>
      <w:r>
        <w:t xml:space="preserve">Ustawienia programu Power BI</w:t>
      </w:r>
    </w:p>
    <w:p>
      <w:pPr>
        <w:pStyle w:val="FirstParagraph"/>
      </w:pPr>
      <w:r>
        <w:t xml:space="preserve">Przed rozpoczęciem pracy z Power BI Desktop warto odpowiednio skonfigurować środowisko pracy. Prawidłowe ustawienia programu umożliwiają dostęp do nowych funkcji oraz optymalizują sposób pracy z danymi.</w:t>
      </w:r>
    </w:p>
    <w:bookmarkStart w:id="12" w:name="Xf5d0ab14607ee0af1eff19900582d6b5bc34e3d"/>
    <w:p>
      <w:pPr>
        <w:pStyle w:val="Heading3"/>
      </w:pPr>
      <w:r>
        <w:t xml:space="preserve">Włączenie funkcji w wersji zapoznawczej (Preview Features)</w:t>
      </w:r>
    </w:p>
    <w:p>
      <w:pPr>
        <w:pStyle w:val="FirstParagraph"/>
      </w:pPr>
      <w:r>
        <w:t xml:space="preserve">Power BI regularnie wprowadza nowe funkcje, które na początku dostępne są jako wersje zapoznawcze. Aby je włączyć:</w:t>
      </w:r>
    </w:p>
    <w:p>
      <w:pPr>
        <w:pStyle w:val="Compact"/>
        <w:numPr>
          <w:ilvl w:val="0"/>
          <w:numId w:val="1001"/>
        </w:numPr>
      </w:pPr>
      <w:r>
        <w:t xml:space="preserve">Otwórz</w:t>
      </w:r>
      <w:r>
        <w:t xml:space="preserve"> </w:t>
      </w:r>
      <w:r>
        <w:rPr>
          <w:b/>
          <w:bCs/>
        </w:rPr>
        <w:t xml:space="preserve">Plik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Opcje i ustawienia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Opcje</w:t>
      </w:r>
    </w:p>
    <w:p>
      <w:pPr>
        <w:pStyle w:val="Compact"/>
        <w:numPr>
          <w:ilvl w:val="0"/>
          <w:numId w:val="1001"/>
        </w:numPr>
      </w:pPr>
      <w:r>
        <w:t xml:space="preserve">Przejdź do sekcji</w:t>
      </w:r>
      <w:r>
        <w:t xml:space="preserve"> </w:t>
      </w:r>
      <w:r>
        <w:rPr>
          <w:b/>
          <w:bCs/>
        </w:rPr>
        <w:t xml:space="preserve">Funkcje w wersji zapoznawczej</w:t>
      </w:r>
      <w:r>
        <w:t xml:space="preserve"> </w:t>
      </w:r>
      <w:r>
        <w:t xml:space="preserve">(Preview features)</w:t>
      </w:r>
    </w:p>
    <w:p>
      <w:pPr>
        <w:pStyle w:val="Compact"/>
        <w:numPr>
          <w:ilvl w:val="0"/>
          <w:numId w:val="1001"/>
        </w:numPr>
      </w:pPr>
      <w:r>
        <w:t xml:space="preserve">Zaznacz następujące opcje: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Obliczenia wizualne</w:t>
      </w:r>
      <w:r>
        <w:t xml:space="preserve"> </w:t>
      </w:r>
      <w:r>
        <w:t xml:space="preserve">- pozwala na tworzenie bardziej zaawansowanych wizualizacji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Nowe wizualizacje</w:t>
      </w:r>
      <w:r>
        <w:t xml:space="preserve"> </w:t>
      </w:r>
      <w:r>
        <w:t xml:space="preserve">- daje dostęp do najnowszych typów wizualizacji</w:t>
      </w:r>
    </w:p>
    <w:p>
      <w:pPr>
        <w:pStyle w:val="FirstParagraph"/>
      </w:pPr>
      <w:r>
        <w:rPr>
          <w:b/>
          <w:bCs/>
        </w:rPr>
        <w:t xml:space="preserve">Uwaga:</w:t>
      </w:r>
      <w:r>
        <w:t xml:space="preserve"> </w:t>
      </w:r>
      <w:r>
        <w:t xml:space="preserve">Po włączeniu funkcji w wersji zapoznawczej konieczne jest ponowne uruchomienie Power BI Desktop.</w:t>
      </w:r>
    </w:p>
    <w:p>
      <w:pPr>
        <w:pStyle w:val="BodyText"/>
      </w:pPr>
      <w:r>
        <w:drawing>
          <wp:inline>
            <wp:extent cx="5334000" cy="4021068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https://raw.githubusercontent.com/odczarujpowerbi/grafiki-do-szkolenia/main/PowerBI%20-%20Ustawienia%20-%20Preview%20Features.gif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1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2"/>
    <w:bookmarkStart w:id="13" w:name="X4ee01d903dc5746d43f64c34f78fa041f12f048"/>
    <w:p>
      <w:pPr>
        <w:pStyle w:val="Heading3"/>
      </w:pPr>
      <w:r>
        <w:t xml:space="preserve">Konfiguracja ustawień raportu- włączenie interakcji między obiektami na raporcie</w:t>
      </w:r>
    </w:p>
    <w:p>
      <w:pPr>
        <w:pStyle w:val="FirstParagraph"/>
      </w:pPr>
      <w:r>
        <w:t xml:space="preserve">Interakcje między wizualizacjami pozwalają na dynamiczne filtrowanie danych. Aby włączyć tę funkcję:</w:t>
      </w:r>
    </w:p>
    <w:p>
      <w:pPr>
        <w:pStyle w:val="Compact"/>
        <w:numPr>
          <w:ilvl w:val="0"/>
          <w:numId w:val="1003"/>
        </w:numPr>
      </w:pPr>
      <w:r>
        <w:t xml:space="preserve">Przejdź do widoku</w:t>
      </w:r>
      <w:r>
        <w:t xml:space="preserve"> </w:t>
      </w:r>
      <w:r>
        <w:rPr>
          <w:b/>
          <w:bCs/>
        </w:rPr>
        <w:t xml:space="preserve">Raport</w:t>
      </w:r>
    </w:p>
    <w:p>
      <w:pPr>
        <w:pStyle w:val="Compact"/>
        <w:numPr>
          <w:ilvl w:val="0"/>
          <w:numId w:val="1003"/>
        </w:numPr>
      </w:pPr>
      <w:r>
        <w:t xml:space="preserve">Kliknij</w:t>
      </w:r>
      <w:r>
        <w:t xml:space="preserve"> </w:t>
      </w:r>
      <w:r>
        <w:rPr>
          <w:b/>
          <w:bCs/>
        </w:rPr>
        <w:t xml:space="preserve">Plik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Opcje i ustawienia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Opcje</w:t>
      </w:r>
    </w:p>
    <w:p>
      <w:pPr>
        <w:pStyle w:val="Compact"/>
        <w:numPr>
          <w:ilvl w:val="0"/>
          <w:numId w:val="1003"/>
        </w:numPr>
      </w:pPr>
      <w:r>
        <w:t xml:space="preserve">W sekcji</w:t>
      </w:r>
      <w:r>
        <w:t xml:space="preserve"> </w:t>
      </w:r>
      <w:r>
        <w:rPr>
          <w:b/>
          <w:bCs/>
        </w:rPr>
        <w:t xml:space="preserve">BIEŻĄCY PLIK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Ustawienia raportu</w:t>
      </w:r>
    </w:p>
    <w:p>
      <w:pPr>
        <w:pStyle w:val="Compact"/>
        <w:numPr>
          <w:ilvl w:val="0"/>
          <w:numId w:val="1003"/>
        </w:numPr>
      </w:pPr>
      <w:r>
        <w:t xml:space="preserve">Upewnij się, że opcja dotycząca interakcji wizualizacji jest włączona</w:t>
      </w:r>
    </w:p>
    <w:p>
      <w:pPr>
        <w:pStyle w:val="FirstParagraph"/>
      </w:pPr>
      <w:r>
        <w:t xml:space="preserve">Pasted image 20251209170359.png</w:t>
      </w:r>
    </w:p>
    <w:p>
      <w:pPr>
        <w:pStyle w:val="BodyText"/>
      </w:pPr>
      <w:r>
        <w:t xml:space="preserve">Dzięki temu kliknięcie na element jednej wizualizacji (np. kolumnę na wykresie) automatycznie przefiltruje pozostałe wizualizacje na stronie raportu.</w:t>
      </w:r>
    </w:p>
    <w:p>
      <w:r>
        <w:pict>
          <v:rect style="width:0;height:1.5pt" o:hralign="center" o:hrstd="t" o:hr="t"/>
        </w:pict>
      </w:r>
    </w:p>
    <w:bookmarkEnd w:id="13"/>
    <w:bookmarkStart w:id="14" w:name="Xc25df3d37d2e9f15e74cb8a64dd920c62a2fdb6"/>
    <w:p>
      <w:pPr>
        <w:pStyle w:val="Heading3"/>
      </w:pPr>
      <w:r>
        <w:t xml:space="preserve">Ustawienia Power Query- wyłączenie automatycznego wykrywania typów kolumn</w:t>
      </w:r>
    </w:p>
    <w:p>
      <w:pPr>
        <w:pStyle w:val="FirstParagraph"/>
      </w:pPr>
      <w:r>
        <w:t xml:space="preserve">Automatyczne wykrywanie typów danych przez Power Query może czasem prowadzić do błędów lub niepożądanych konwersji. Zaleca się wyłączenie tej opcji i ręczne kontrolowanie typów danych:</w:t>
      </w:r>
    </w:p>
    <w:p>
      <w:pPr>
        <w:pStyle w:val="Compact"/>
        <w:numPr>
          <w:ilvl w:val="0"/>
          <w:numId w:val="1004"/>
        </w:numPr>
      </w:pPr>
      <w:r>
        <w:t xml:space="preserve">Otwórz</w:t>
      </w:r>
      <w:r>
        <w:t xml:space="preserve"> </w:t>
      </w:r>
      <w:r>
        <w:rPr>
          <w:b/>
          <w:bCs/>
        </w:rPr>
        <w:t xml:space="preserve">Plik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Opcje i ustawienia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Opcje</w:t>
      </w:r>
    </w:p>
    <w:p>
      <w:pPr>
        <w:pStyle w:val="Compact"/>
        <w:numPr>
          <w:ilvl w:val="0"/>
          <w:numId w:val="1004"/>
        </w:numPr>
      </w:pPr>
      <w:r>
        <w:t xml:space="preserve">Przejdź do sekcji</w:t>
      </w:r>
      <w:r>
        <w:t xml:space="preserve"> </w:t>
      </w:r>
      <w:r>
        <w:rPr>
          <w:b/>
          <w:bCs/>
        </w:rPr>
        <w:t xml:space="preserve">BIEŻĄCY PLIK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Ładowanie danych</w:t>
      </w:r>
    </w:p>
    <w:p>
      <w:pPr>
        <w:pStyle w:val="Compact"/>
        <w:numPr>
          <w:ilvl w:val="0"/>
          <w:numId w:val="1004"/>
        </w:numPr>
      </w:pPr>
      <w:r>
        <w:t xml:space="preserve">Odznacz opcję</w:t>
      </w:r>
      <w:r>
        <w:t xml:space="preserve"> </w:t>
      </w:r>
      <w:r>
        <w:rPr>
          <w:b/>
          <w:bCs/>
        </w:rPr>
        <w:t xml:space="preserve">Automatycznie wykrywaj typy kolumn i nagłówki dla źródeł nieustrukturyzowanych</w:t>
      </w:r>
      <w:r>
        <w:br/>
      </w:r>
      <w:r>
        <w:t xml:space="preserve">Pasted image 20251209170441.png</w:t>
      </w:r>
    </w:p>
    <w:p>
      <w:pPr>
        <w:pStyle w:val="FirstParagraph"/>
      </w:pPr>
      <w:r>
        <w:t xml:space="preserve">Dzięki temu będziesz mieć pełną kontrolę nad tym, jakie typy danych są przypisywane do poszczególnych kolumn.</w:t>
      </w:r>
    </w:p>
    <w:p>
      <w:r>
        <w:pict>
          <v:rect style="width:0;height:1.5pt" o:hralign="center" o:hrstd="t" o:hr="t"/>
        </w:pict>
      </w:r>
    </w:p>
    <w:bookmarkEnd w:id="14"/>
    <w:bookmarkStart w:id="15" w:name="ustawienie-wersji-językowej"/>
    <w:p>
      <w:pPr>
        <w:pStyle w:val="Heading3"/>
      </w:pPr>
      <w:r>
        <w:t xml:space="preserve">Ustawienie wersji językowej</w:t>
      </w:r>
    </w:p>
    <w:p>
      <w:pPr>
        <w:pStyle w:val="FirstParagraph"/>
      </w:pPr>
      <w:r>
        <w:t xml:space="preserve">Wersja językowa Power BI wpływa na separatory dziesiętne, daty oraz niektóre funkcje DAX:</w:t>
      </w:r>
    </w:p>
    <w:p>
      <w:pPr>
        <w:pStyle w:val="Compact"/>
        <w:numPr>
          <w:ilvl w:val="0"/>
          <w:numId w:val="1005"/>
        </w:numPr>
      </w:pPr>
      <w:r>
        <w:t xml:space="preserve">Otwórz</w:t>
      </w:r>
      <w:r>
        <w:t xml:space="preserve"> </w:t>
      </w:r>
      <w:r>
        <w:rPr>
          <w:b/>
          <w:bCs/>
        </w:rPr>
        <w:t xml:space="preserve">Plik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Opcje i ustawienia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Opcje</w:t>
      </w:r>
    </w:p>
    <w:p>
      <w:pPr>
        <w:pStyle w:val="Compact"/>
        <w:numPr>
          <w:ilvl w:val="0"/>
          <w:numId w:val="1005"/>
        </w:numPr>
      </w:pPr>
      <w:r>
        <w:t xml:space="preserve">Przejdź do sekcji</w:t>
      </w:r>
      <w:r>
        <w:t xml:space="preserve"> </w:t>
      </w:r>
      <w:r>
        <w:rPr>
          <w:b/>
          <w:bCs/>
        </w:rPr>
        <w:t xml:space="preserve">GLOBALNE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Ustawienia regionalne</w:t>
      </w:r>
    </w:p>
    <w:p>
      <w:pPr>
        <w:pStyle w:val="Compact"/>
        <w:numPr>
          <w:ilvl w:val="0"/>
          <w:numId w:val="1005"/>
        </w:numPr>
      </w:pPr>
      <w:r>
        <w:t xml:space="preserve">Wybierz odpowiedni język - zalecany jest Angielski ze względu na:</w:t>
      </w:r>
    </w:p>
    <w:p>
      <w:pPr>
        <w:pStyle w:val="Compact"/>
        <w:numPr>
          <w:ilvl w:val="1"/>
          <w:numId w:val="1006"/>
        </w:numPr>
      </w:pPr>
      <w:r>
        <w:t xml:space="preserve">Prostszą integrację z AI</w:t>
      </w:r>
    </w:p>
    <w:p>
      <w:pPr>
        <w:pStyle w:val="Compact"/>
        <w:numPr>
          <w:ilvl w:val="1"/>
          <w:numId w:val="1006"/>
        </w:numPr>
      </w:pPr>
      <w:r>
        <w:t xml:space="preserve">Spójność nazewnictwa z dokumentacją Microsoft Learn</w:t>
      </w:r>
    </w:p>
    <w:p>
      <w:pPr>
        <w:pStyle w:val="FirstParagraph"/>
      </w:pPr>
      <w:r>
        <w:t xml:space="preserve">Pasted image 20251209170514.png</w:t>
      </w:r>
      <w:r>
        <w:br/>
      </w:r>
      <w:r>
        <w:rPr>
          <w:b/>
          <w:bCs/>
        </w:rPr>
        <w:t xml:space="preserve">Uwaga:</w:t>
      </w:r>
    </w:p>
    <w:p>
      <w:pPr>
        <w:pStyle w:val="Compact"/>
        <w:numPr>
          <w:ilvl w:val="0"/>
          <w:numId w:val="1007"/>
        </w:numPr>
      </w:pPr>
      <w:r>
        <w:t xml:space="preserve">W polskiej wersji separator dziesiętny to przecinek (</w:t>
      </w:r>
      <w:r>
        <w:rPr>
          <w:rStyle w:val="VerbatimChar"/>
        </w:rPr>
        <w:t xml:space="preserve">,</w:t>
      </w:r>
      <w:r>
        <w:t xml:space="preserve">), a separator argumentów to średnik (</w:t>
      </w:r>
      <w:r>
        <w:rPr>
          <w:rStyle w:val="VerbatimChar"/>
        </w:rPr>
        <w:t xml:space="preserve">;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W angielskiej wersji separator dziesiętny to kropka (</w:t>
      </w:r>
      <w:r>
        <w:rPr>
          <w:rStyle w:val="VerbatimChar"/>
        </w:rPr>
        <w:t xml:space="preserve">.</w:t>
      </w:r>
      <w:r>
        <w:t xml:space="preserve">), a separator argumentów to przecinek (</w:t>
      </w:r>
      <w:r>
        <w:rPr>
          <w:rStyle w:val="VerbatimChar"/>
        </w:rPr>
        <w:t xml:space="preserve">,</w:t>
      </w:r>
      <w:r>
        <w:t xml:space="preserve">)</w:t>
      </w:r>
    </w:p>
    <w:p>
      <w:pPr>
        <w:pStyle w:val="FirstParagraph"/>
      </w:pPr>
      <w:r>
        <w:t xml:space="preserve">Przykład różnic w składni DAX:</w:t>
      </w:r>
    </w:p>
    <w:p>
      <w:pPr>
        <w:pStyle w:val="SourceCode"/>
      </w:pPr>
      <w:r>
        <w:rPr>
          <w:rStyle w:val="VerbatimChar"/>
        </w:rPr>
        <w:t xml:space="preserve">DAX</w:t>
      </w:r>
      <w:r>
        <w:br/>
      </w:r>
      <w:r>
        <w:rPr>
          <w:rStyle w:val="VerbatimChar"/>
        </w:rPr>
        <w:t xml:space="preserve">// Wersja polska</w:t>
      </w:r>
      <w:r>
        <w:br/>
      </w:r>
      <w:r>
        <w:rPr>
          <w:rStyle w:val="VerbatimChar"/>
        </w:rPr>
        <w:t xml:space="preserve">Suma wartości = SUMX(fDemo; fDemo[Price] * fDemo[Quantity])</w:t>
      </w:r>
      <w:r>
        <w:br/>
      </w:r>
      <w:r>
        <w:br/>
      </w:r>
      <w:r>
        <w:rPr>
          <w:rStyle w:val="VerbatimChar"/>
        </w:rPr>
        <w:t xml:space="preserve">// Wersja angielska</w:t>
      </w:r>
      <w:r>
        <w:br/>
      </w:r>
      <w:r>
        <w:rPr>
          <w:rStyle w:val="VerbatimChar"/>
        </w:rPr>
        <w:t xml:space="preserve">Suma wartości = SUMX(fDemo, fDemo[Price] * fDemo[Quantity])</w:t>
      </w:r>
    </w:p>
    <w:p>
      <w:r>
        <w:pict>
          <v:rect style="width:0;height:1.5pt" o:hralign="center" o:hrstd="t" o:hr="t"/>
        </w:pict>
      </w:r>
    </w:p>
    <w:bookmarkEnd w:id="15"/>
    <w:bookmarkEnd w:id="16"/>
    <w:bookmarkEnd w:id="17"/>
    <w:bookmarkStart w:id="25" w:name="główne-widoki-power-bi-desktop"/>
    <w:p>
      <w:pPr>
        <w:pStyle w:val="Heading1"/>
      </w:pPr>
      <w:r>
        <w:t xml:space="preserve">Główne widoki Power BI Desktop</w:t>
      </w:r>
    </w:p>
    <w:bookmarkStart w:id="23" w:name="widoki-power-bi-desktop"/>
    <w:p>
      <w:pPr>
        <w:pStyle w:val="Heading2"/>
      </w:pPr>
      <w:r>
        <w:t xml:space="preserve">Widoki Power BI Desktop</w:t>
      </w:r>
    </w:p>
    <w:p>
      <w:pPr>
        <w:pStyle w:val="FirstParagraph"/>
      </w:pPr>
      <w:r>
        <w:t xml:space="preserve">Power BI Desktop oferuje pięć głównych widoków, z których każdy służy do różnych celów. Znajomość tych widoków jest kluczowa dla efektywnej pracy z narzędziem.</w:t>
      </w:r>
    </w:p>
    <w:bookmarkStart w:id="18" w:name="widok-raport-report-view"/>
    <w:p>
      <w:pPr>
        <w:pStyle w:val="Heading3"/>
      </w:pPr>
      <w:r>
        <w:t xml:space="preserve">1. Widok Raport (Report View)</w:t>
      </w:r>
    </w:p>
    <w:p>
      <w:pPr>
        <w:pStyle w:val="FirstParagraph"/>
      </w:pPr>
      <w:r>
        <w:t xml:space="preserve">Pasted image 20251209155301.png</w:t>
      </w:r>
    </w:p>
    <w:p>
      <w:pPr>
        <w:pStyle w:val="BodyText"/>
      </w:pPr>
      <w:r>
        <w:rPr>
          <w:b/>
          <w:bCs/>
        </w:rPr>
        <w:t xml:space="preserve">Zastosowanie:</w:t>
      </w:r>
      <w:r>
        <w:t xml:space="preserve"> </w:t>
      </w:r>
      <w:r>
        <w:t xml:space="preserve">Tworzenie i projektowanie wizualizacji danych.</w:t>
      </w:r>
    </w:p>
    <w:p>
      <w:pPr>
        <w:pStyle w:val="BodyText"/>
      </w:pPr>
      <w:r>
        <w:t xml:space="preserve">W tym widoku:</w:t>
      </w:r>
    </w:p>
    <w:p>
      <w:pPr>
        <w:pStyle w:val="Compact"/>
        <w:numPr>
          <w:ilvl w:val="0"/>
          <w:numId w:val="1008"/>
        </w:numPr>
      </w:pPr>
      <w:r>
        <w:t xml:space="preserve">Tworzysz wykresy, tabele, karty i inne wizualizacje</w:t>
      </w:r>
    </w:p>
    <w:p>
      <w:pPr>
        <w:pStyle w:val="Compact"/>
        <w:numPr>
          <w:ilvl w:val="0"/>
          <w:numId w:val="1008"/>
        </w:numPr>
      </w:pPr>
      <w:r>
        <w:t xml:space="preserve">Układasz elementy na stronach raportu</w:t>
      </w:r>
    </w:p>
    <w:p>
      <w:pPr>
        <w:pStyle w:val="Compact"/>
        <w:numPr>
          <w:ilvl w:val="0"/>
          <w:numId w:val="1008"/>
        </w:numPr>
      </w:pPr>
      <w:r>
        <w:t xml:space="preserve">Konfigurujesz formatowanie wizualizacji</w:t>
      </w:r>
    </w:p>
    <w:p>
      <w:pPr>
        <w:pStyle w:val="Compact"/>
        <w:numPr>
          <w:ilvl w:val="0"/>
          <w:numId w:val="1008"/>
        </w:numPr>
      </w:pPr>
      <w:r>
        <w:t xml:space="preserve">Ustawiasz interakcje między obiektami</w:t>
      </w:r>
    </w:p>
    <w:p>
      <w:pPr>
        <w:pStyle w:val="FirstParagraph"/>
      </w:pPr>
      <w:r>
        <w:rPr>
          <w:b/>
          <w:bCs/>
        </w:rPr>
        <w:t xml:space="preserve">Przykład użycia:</w:t>
      </w:r>
      <w:r>
        <w:br/>
      </w:r>
      <w:r>
        <w:t xml:space="preserve">Stworzenie wykresu słupkowego pokazującego sumę sprzedaży (Price × Quantity) według kategorii z tabeli fDemo.</w:t>
      </w:r>
    </w:p>
    <w:p>
      <w:r>
        <w:pict>
          <v:rect style="width:0;height:1.5pt" o:hralign="center" o:hrstd="t" o:hr="t"/>
        </w:pict>
      </w:r>
    </w:p>
    <w:bookmarkEnd w:id="18"/>
    <w:bookmarkStart w:id="19" w:name="widok-dane-data-view"/>
    <w:p>
      <w:pPr>
        <w:pStyle w:val="Heading3"/>
      </w:pPr>
      <w:r>
        <w:t xml:space="preserve">2. Widok Dane (Data View)</w:t>
      </w:r>
    </w:p>
    <w:p>
      <w:pPr>
        <w:pStyle w:val="FirstParagraph"/>
      </w:pPr>
      <w:r>
        <w:t xml:space="preserve">Pasted image 20251209155324.png</w:t>
      </w:r>
    </w:p>
    <w:p>
      <w:pPr>
        <w:pStyle w:val="BodyText"/>
      </w:pPr>
      <w:r>
        <w:rPr>
          <w:b/>
          <w:bCs/>
        </w:rPr>
        <w:t xml:space="preserve">Zastosowanie:</w:t>
      </w:r>
      <w:r>
        <w:t xml:space="preserve"> </w:t>
      </w:r>
      <w:r>
        <w:t xml:space="preserve">Podgląd i weryfikacja danych w tabelach.</w:t>
      </w:r>
    </w:p>
    <w:p>
      <w:pPr>
        <w:pStyle w:val="BodyText"/>
      </w:pPr>
      <w:r>
        <w:t xml:space="preserve">W tym widoku:</w:t>
      </w:r>
    </w:p>
    <w:p>
      <w:pPr>
        <w:pStyle w:val="Compact"/>
        <w:numPr>
          <w:ilvl w:val="0"/>
          <w:numId w:val="1009"/>
        </w:numPr>
      </w:pPr>
      <w:r>
        <w:t xml:space="preserve">Przeglądasz zawartość tabel</w:t>
      </w:r>
    </w:p>
    <w:p>
      <w:pPr>
        <w:pStyle w:val="Compact"/>
        <w:numPr>
          <w:ilvl w:val="0"/>
          <w:numId w:val="1009"/>
        </w:numPr>
      </w:pPr>
      <w:r>
        <w:t xml:space="preserve">Weryfikujesz poprawność danych</w:t>
      </w:r>
    </w:p>
    <w:p>
      <w:pPr>
        <w:pStyle w:val="Compact"/>
        <w:numPr>
          <w:ilvl w:val="0"/>
          <w:numId w:val="1009"/>
        </w:numPr>
      </w:pPr>
      <w:r>
        <w:t xml:space="preserve">Tworzysz kolumny kalkulowane</w:t>
      </w:r>
    </w:p>
    <w:p>
      <w:pPr>
        <w:pStyle w:val="Compact"/>
        <w:numPr>
          <w:ilvl w:val="0"/>
          <w:numId w:val="1009"/>
        </w:numPr>
      </w:pPr>
      <w:r>
        <w:t xml:space="preserve">Sprawdzasz wyniki transformacji</w:t>
      </w:r>
    </w:p>
    <w:p>
      <w:pPr>
        <w:pStyle w:val="FirstParagraph"/>
      </w:pPr>
      <w:r>
        <w:rPr>
          <w:b/>
          <w:bCs/>
        </w:rPr>
        <w:t xml:space="preserve">Przykład użycia:</w:t>
      </w:r>
      <w:r>
        <w:br/>
      </w:r>
      <w:r>
        <w:t xml:space="preserve">Sprawdzenie, czy wszystkie produkty z tabeli fDemo mają przypisane wartości w kolumnach Price, Quantity i Category.</w:t>
      </w:r>
    </w:p>
    <w:p>
      <w:r>
        <w:pict>
          <v:rect style="width:0;height:1.5pt" o:hralign="center" o:hrstd="t" o:hr="t"/>
        </w:pict>
      </w:r>
    </w:p>
    <w:bookmarkEnd w:id="19"/>
    <w:bookmarkStart w:id="20" w:name="widok-model-model-view"/>
    <w:p>
      <w:pPr>
        <w:pStyle w:val="Heading3"/>
      </w:pPr>
      <w:r>
        <w:t xml:space="preserve">3. Widok Model (Model View)</w:t>
      </w:r>
    </w:p>
    <w:p>
      <w:pPr>
        <w:pStyle w:val="FirstParagraph"/>
      </w:pPr>
      <w:r>
        <w:t xml:space="preserve">Pasted image 20251209155620.png</w:t>
      </w:r>
    </w:p>
    <w:p>
      <w:pPr>
        <w:pStyle w:val="BodyText"/>
      </w:pPr>
      <w:r>
        <w:rPr>
          <w:b/>
          <w:bCs/>
        </w:rPr>
        <w:t xml:space="preserve">Zastosowanie:</w:t>
      </w:r>
      <w:r>
        <w:t xml:space="preserve"> </w:t>
      </w:r>
      <w:r>
        <w:t xml:space="preserve">Zarządzanie relacjami między tabelami i strukturą modelu danych.</w:t>
      </w:r>
    </w:p>
    <w:p>
      <w:pPr>
        <w:pStyle w:val="BodyText"/>
      </w:pPr>
      <w:r>
        <w:t xml:space="preserve">W tym widoku:</w:t>
      </w:r>
    </w:p>
    <w:p>
      <w:pPr>
        <w:pStyle w:val="Compact"/>
        <w:numPr>
          <w:ilvl w:val="0"/>
          <w:numId w:val="1010"/>
        </w:numPr>
      </w:pPr>
      <w:r>
        <w:t xml:space="preserve">Tworzysz relacje między tabelami</w:t>
      </w:r>
    </w:p>
    <w:p>
      <w:pPr>
        <w:pStyle w:val="Compact"/>
        <w:numPr>
          <w:ilvl w:val="0"/>
          <w:numId w:val="1010"/>
        </w:numPr>
      </w:pPr>
      <w:r>
        <w:t xml:space="preserve">Zarządzasz kluczami głównymi i obcymi</w:t>
      </w:r>
    </w:p>
    <w:p>
      <w:pPr>
        <w:pStyle w:val="Compact"/>
        <w:numPr>
          <w:ilvl w:val="0"/>
          <w:numId w:val="1010"/>
        </w:numPr>
      </w:pPr>
      <w:r>
        <w:t xml:space="preserve">Organizujesz tabele w grupy tematyczne</w:t>
      </w:r>
    </w:p>
    <w:p>
      <w:pPr>
        <w:pStyle w:val="Compact"/>
        <w:numPr>
          <w:ilvl w:val="0"/>
          <w:numId w:val="1010"/>
        </w:numPr>
      </w:pPr>
      <w:r>
        <w:t xml:space="preserve">Definiujesz hierarchie wymiarów</w:t>
      </w:r>
    </w:p>
    <w:p>
      <w:pPr>
        <w:pStyle w:val="FirstParagraph"/>
      </w:pPr>
      <w:r>
        <w:rPr>
          <w:b/>
          <w:bCs/>
        </w:rPr>
        <w:t xml:space="preserve">Przykład użycia:</w:t>
      </w:r>
      <w:r>
        <w:br/>
      </w:r>
      <w:r>
        <w:t xml:space="preserve">W przypadku rozbudowy modelu o tabelę wymiarową "DimCategory" można by tutaj utworzyć relację między fDemo[Category] a DimCategory[CategoryName].</w:t>
      </w:r>
    </w:p>
    <w:p>
      <w:r>
        <w:pict>
          <v:rect style="width:0;height:1.5pt" o:hralign="center" o:hrstd="t" o:hr="t"/>
        </w:pict>
      </w:r>
    </w:p>
    <w:bookmarkEnd w:id="20"/>
    <w:bookmarkStart w:id="21" w:name="widok-dax-query-dax-query-view"/>
    <w:p>
      <w:pPr>
        <w:pStyle w:val="Heading3"/>
      </w:pPr>
      <w:r>
        <w:t xml:space="preserve">4. Widok DAX Query (DAX Query View)</w:t>
      </w:r>
    </w:p>
    <w:p>
      <w:pPr>
        <w:pStyle w:val="FirstParagraph"/>
      </w:pPr>
      <w:r>
        <w:t xml:space="preserve">Pasted image 20251209155746.png</w:t>
      </w:r>
    </w:p>
    <w:p>
      <w:pPr>
        <w:pStyle w:val="BodyText"/>
      </w:pPr>
      <w:r>
        <w:rPr>
          <w:b/>
          <w:bCs/>
        </w:rPr>
        <w:t xml:space="preserve">Zastosowanie:</w:t>
      </w:r>
      <w:r>
        <w:t xml:space="preserve"> </w:t>
      </w:r>
      <w:r>
        <w:t xml:space="preserve">Testowanie zapytań DAX bez tworzenia miar w modelu.</w:t>
      </w:r>
    </w:p>
    <w:p>
      <w:pPr>
        <w:pStyle w:val="BodyText"/>
      </w:pPr>
      <w:r>
        <w:t xml:space="preserve">W tym widoku:</w:t>
      </w:r>
    </w:p>
    <w:p>
      <w:pPr>
        <w:pStyle w:val="Compact"/>
        <w:numPr>
          <w:ilvl w:val="0"/>
          <w:numId w:val="1011"/>
        </w:numPr>
      </w:pPr>
      <w:r>
        <w:t xml:space="preserve">Piszesz i testujesz zapytania DAX (podobnie jak SQL)</w:t>
      </w:r>
    </w:p>
    <w:p>
      <w:pPr>
        <w:pStyle w:val="Compact"/>
        <w:numPr>
          <w:ilvl w:val="0"/>
          <w:numId w:val="1011"/>
        </w:numPr>
      </w:pPr>
      <w:r>
        <w:t xml:space="preserve">Szybko weryfikujesz wyniki wyrażeń</w:t>
      </w:r>
    </w:p>
    <w:p>
      <w:pPr>
        <w:pStyle w:val="Compact"/>
        <w:numPr>
          <w:ilvl w:val="0"/>
          <w:numId w:val="1011"/>
        </w:numPr>
      </w:pPr>
      <w:r>
        <w:t xml:space="preserve">Eksplorujesz dane bez wpływu na model</w:t>
      </w:r>
    </w:p>
    <w:p>
      <w:pPr>
        <w:pStyle w:val="Compact"/>
        <w:numPr>
          <w:ilvl w:val="0"/>
          <w:numId w:val="1011"/>
        </w:numPr>
      </w:pPr>
      <w:r>
        <w:t xml:space="preserve">Uczysz się składni DAX</w:t>
      </w:r>
    </w:p>
    <w:p>
      <w:pPr>
        <w:pStyle w:val="FirstParagraph"/>
      </w:pPr>
      <w:r>
        <w:rPr>
          <w:b/>
          <w:bCs/>
        </w:rPr>
        <w:t xml:space="preserve">Przykład zapytania:</w:t>
      </w:r>
    </w:p>
    <w:p>
      <w:pPr>
        <w:pStyle w:val="SourceCode"/>
      </w:pPr>
      <w:r>
        <w:rPr>
          <w:rStyle w:val="VerbatimChar"/>
        </w:rPr>
        <w:t xml:space="preserve">DAX</w:t>
      </w:r>
      <w:r>
        <w:br/>
      </w:r>
      <w:r>
        <w:rPr>
          <w:rStyle w:val="VerbatimChar"/>
        </w:rPr>
        <w:t xml:space="preserve">EVALUATE</w:t>
      </w:r>
      <w:r>
        <w:br/>
      </w:r>
      <w:r>
        <w:rPr>
          <w:rStyle w:val="VerbatimChar"/>
        </w:rPr>
        <w:t xml:space="preserve">SUMMARIZECOLUMNS(</w:t>
      </w:r>
      <w:r>
        <w:br/>
      </w:r>
      <w:r>
        <w:rPr>
          <w:rStyle w:val="VerbatimChar"/>
        </w:rPr>
        <w:t xml:space="preserve">    fDemo[Category],</w:t>
      </w:r>
      <w:r>
        <w:br/>
      </w:r>
      <w:r>
        <w:rPr>
          <w:rStyle w:val="VerbatimChar"/>
        </w:rPr>
        <w:t xml:space="preserve">    "Total Sales", SUMX(fDemo, fDemo[Price] * fDemo[Quantity])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ORDER BY [Total Sales] DESC</w:t>
      </w:r>
    </w:p>
    <w:p>
      <w:pPr>
        <w:pStyle w:val="FirstParagraph"/>
      </w:pPr>
      <w:r>
        <w:t xml:space="preserve">To zapytanie zwróci zestawienie sprzedaży według kategorii, posortowane malejąco.</w:t>
      </w:r>
    </w:p>
    <w:p>
      <w:r>
        <w:pict>
          <v:rect style="width:0;height:1.5pt" o:hralign="center" o:hrstd="t" o:hr="t"/>
        </w:pict>
      </w:r>
    </w:p>
    <w:bookmarkEnd w:id="21"/>
    <w:bookmarkStart w:id="22" w:name="Xcf569daa141fbb4e0826748d5aa9e7719992c92"/>
    <w:p>
      <w:pPr>
        <w:pStyle w:val="Heading3"/>
      </w:pPr>
      <w:r>
        <w:t xml:space="preserve">5. Widok TMDL (Tabular Model Definition Language)</w:t>
      </w:r>
    </w:p>
    <w:p>
      <w:pPr>
        <w:pStyle w:val="FirstParagraph"/>
      </w:pPr>
      <w:r>
        <w:t xml:space="preserve">Pasted image 20251209161608.png</w:t>
      </w:r>
    </w:p>
    <w:p>
      <w:pPr>
        <w:pStyle w:val="BodyText"/>
      </w:pPr>
      <w:r>
        <w:rPr>
          <w:b/>
          <w:bCs/>
        </w:rPr>
        <w:t xml:space="preserve">Zastosowanie:</w:t>
      </w:r>
      <w:r>
        <w:t xml:space="preserve"> </w:t>
      </w:r>
      <w:r>
        <w:t xml:space="preserve">Edycja modelu danych w formie tekstowej (dla zaawansowanych użytkowników).</w:t>
      </w:r>
    </w:p>
    <w:p>
      <w:pPr>
        <w:pStyle w:val="BodyText"/>
      </w:pPr>
      <w:r>
        <w:t xml:space="preserve">W tym widoku:</w:t>
      </w:r>
    </w:p>
    <w:p>
      <w:pPr>
        <w:pStyle w:val="Compact"/>
        <w:numPr>
          <w:ilvl w:val="0"/>
          <w:numId w:val="1012"/>
        </w:numPr>
      </w:pPr>
      <w:r>
        <w:t xml:space="preserve">Przeglądasz definicję modelu w postaci kodu</w:t>
      </w:r>
    </w:p>
    <w:p>
      <w:pPr>
        <w:pStyle w:val="Compact"/>
        <w:numPr>
          <w:ilvl w:val="0"/>
          <w:numId w:val="1012"/>
        </w:numPr>
      </w:pPr>
      <w:r>
        <w:t xml:space="preserve">Możesz edytować właściwości obiektów</w:t>
      </w:r>
    </w:p>
    <w:p>
      <w:pPr>
        <w:pStyle w:val="Compact"/>
        <w:numPr>
          <w:ilvl w:val="0"/>
          <w:numId w:val="1012"/>
        </w:numPr>
      </w:pPr>
      <w:r>
        <w:t xml:space="preserve">Przydatne do wersjonowania modelu (Git)</w:t>
      </w:r>
    </w:p>
    <w:p>
      <w:pPr>
        <w:pStyle w:val="Compact"/>
        <w:numPr>
          <w:ilvl w:val="0"/>
          <w:numId w:val="1012"/>
        </w:numPr>
      </w:pPr>
      <w:r>
        <w:t xml:space="preserve">Umożliwia zaawansowane operacje masowe</w:t>
      </w:r>
    </w:p>
    <w:p>
      <w:pPr>
        <w:pStyle w:val="FirstParagraph"/>
      </w:pPr>
      <w:r>
        <w:rPr>
          <w:b/>
          <w:bCs/>
        </w:rPr>
        <w:t xml:space="preserve">Uwaga:</w:t>
      </w:r>
      <w:r>
        <w:t xml:space="preserve"> </w:t>
      </w:r>
      <w:r>
        <w:t xml:space="preserve">Ten widok jest przeznaczony dla zaawansowanych użytkowników i programistów, którzy chcą zarządzać modelem jako kodem.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podsumowanie"/>
    <w:p>
      <w:pPr>
        <w:pStyle w:val="Heading2"/>
      </w:pPr>
      <w:r>
        <w:t xml:space="preserve">Podsumowanie</w:t>
      </w:r>
    </w:p>
    <w:p>
      <w:pPr>
        <w:pStyle w:val="FirstParagraph"/>
      </w:pPr>
      <w:r>
        <w:t xml:space="preserve">Prawidłowe przygotowanie środowiska Power BI to fundament efektywnej pracy:</w:t>
      </w:r>
    </w:p>
    <w:p>
      <w:pPr>
        <w:pStyle w:val="BodyText"/>
      </w:pPr>
      <w:r>
        <w:t xml:space="preserve">✓ Włącz niezbędne funkcje w wersji zapoznawczej</w:t>
      </w:r>
      <w:r>
        <w:br/>
      </w:r>
      <w:r>
        <w:t xml:space="preserve">✓ Skonfiguruj ustawienia Power Query (wyłącz auto-detekcję typów)</w:t>
      </w:r>
      <w:r>
        <w:br/>
      </w:r>
      <w:r>
        <w:t xml:space="preserve">✓ Ustaw właściwą wersję językową</w:t>
      </w:r>
      <w:r>
        <w:br/>
      </w:r>
      <w:r>
        <w:t xml:space="preserve">✓ Poznaj wszystkie pięć widoków Power BI Desktop</w:t>
      </w:r>
    </w:p>
    <w:p>
      <w:pPr>
        <w:pStyle w:val="BodyText"/>
      </w:pPr>
      <w:r>
        <w:t xml:space="preserve">Znajomość tych elementów pozwoli Ci sprawnie poruszać się po środowisku i skupić się na budowaniu efektywnych rozwiązań analitycznych.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gi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00. Konfiguracja Power BI</dc:title>
  <dc:creator/>
  <cp:keywords/>
  <dcterms:created xsi:type="dcterms:W3CDTF">2025-12-10T21:03:26Z</dcterms:created>
  <dcterms:modified xsi:type="dcterms:W3CDTF">2025-12-10T21:03:26Z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ype">
    <vt:lpwstr>teoria</vt:lpwstr>
  </property>
</Properties>
</file>