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ODD 代币合约需求文档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OddFi · BSC 链上体育预测市场</w:t>
      </w:r>
    </w:p>
    <w:p>
      <w:pPr>
        <w:spacing w:after="300"/>
        <w:jc w:val="center"/>
      </w:pPr>
      <w:r>
        <w:rPr>
          <w:color w:val="999999"/>
          <w:sz w:val="18"/>
          <w:szCs w:val="18"/>
        </w:rPr>
        <w:t xml:space="preserve">版本 v1.0 · 2026-06 · 机密文件,仅限内部开发使用</w:t>
      </w:r>
    </w:p>
    <w:p>
      <w:pPr>
        <w:pStyle w:val="Heading1"/>
      </w:pPr>
      <w:r>
        <w:t xml:space="preserve">1. 项目背景与文档目的</w:t>
      </w:r>
    </w:p>
    <w:p>
      <w:pPr>
        <w:spacing w:after="120"/>
      </w:pPr>
      <w:r>
        <w:t>OddFi 是部署于 BSC 的链上体育预测市场协议。ODD 为协议原生代币,用户购买 ODD 后用于在预测市场下注。协议现有下注、做市、结算和赔付路径仍由 BettingPool / LiquidityPool 执行;HouseVault 为独立储备合约,不作为当前盘口结算路径的对手方,不影响现有 BettingPool / LiquidityPool 资金模型。</w:t>
      </w:r>
    </w:p>
    <w:p>
      <w:pPr>
        <w:spacing w:after="120"/>
      </w:pPr>
      <w:r>
        <w:t>本文档定义 ODD 代币合约及配套合约(销售、解锁、独立储备金库交互)的功能需求,供合约工程师开发与审计使用。文中「必须 / 不得」为强制需求,「建议」为非强制。</w:t>
      </w:r>
    </w:p>
    <w:p>
      <w:pPr>
        <w:pStyle w:val="Heading1"/>
      </w:pPr>
      <w:r>
        <w:t xml:space="preserve">2. 代币基础参数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代币名称 / 符号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Name: OddFi · Symbol: ODD(已定稿)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(BEP-20)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总量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100,000,000 枚(1 亿),固定供应,合约不得包含增发(mint)入口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精度(decimals)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销毁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保留 burn 能力(仅限持有人销毁自身余额);全局 pause 时 burn 也暂停;不启用协议级强制销毁</w:t>
            </w:r>
          </w:p>
        </w:tc>
      </w:tr>
    </w:tbl>
    <w:p>
      <w:pPr>
        <w:pStyle w:val="Heading1"/>
      </w:pPr>
      <w:r>
        <w:t xml:space="preserve">3. 代币分配</w:t>
      </w:r>
    </w:p>
    <w:p>
      <w:pPr>
        <w:spacing w:after="120"/>
      </w:pPr>
      <w:r>
        <w:t>总量按以下五类一次性铸造并分配至对应合约地址。五类初始分配均不得直接进入 EOA(个人钱包);生态/运营金库必须进入 OpsTreasuryVault 或 OpenZeppelin TimelockController,Safe 仅作为 Timelock 的 proposer/canceller。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1500"/>
        <w:gridCol w:w="2360"/>
        <w:gridCol w:w="30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分配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数量(枚)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接收合约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释放规则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公平发售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30,000,000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TierSale 销售合约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见第 4、6 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庄家金库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25,000,000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HouseVault 独立储备合约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独立储备;不接管 BettingPool / LiquidityPool 结算路径(第 7 节)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DEX 流动性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10,000,000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DexLaunchController / PancakeSwap V3 LP 部署合约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初始化为可转额度;销售结束后与全额募资一次性配对入池(第 4.4)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生态激励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15,000,000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EcosystemRewards 合约(单池,涵盖质押/金库LP/推广)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建池日起 180 天线性解锁(第 6.2)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生态/运营金库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20,000,000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OpsTreasuryVault / TimelockController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OZ TimelockController 最小 48 小时延迟,无线性锁(第 6.3、8 节)</w:t>
            </w:r>
          </w:p>
        </w:tc>
      </w:tr>
    </w:tbl>
    <w:p>
      <w:pPr>
        <w:spacing w:after="120"/>
      </w:pPr>
      <w:r>
        <w:t xml:space="preserve">生态激励为单一池子,内部按质押、金库 LP、推广三类业务分配发放额度,分配比例可由多签治理调整,无需三个独立合约。</w:t>
      </w:r>
    </w:p>
    <w:p>
      <w:r>
        <w:t>3.1 初始化分配要求</w:t>
      </w:r>
    </w:p>
    <w:p>
      <w:r>
        <w:t xml:space="preserve">本轮采用全量重新部署方案:ODDToken proxy、TierSale、HouseVault、DexLaunchController、EcosystemRewards、OpsTreasuryVault / Timelock 以及依赖 ODD 地址的 BettingPool、LiquidityPool、StakingPool 等业务合约均重新部署,不做旧 proxy 热切新 ODD 地址。为降低 CREATE2 循环依赖和 initialize 参数过重风险,ODDToken proxy 初始化只写入 adminTimelock、pauser 等最小角色并固定总量;五类接收合约、业务白名单、treasury sink、固定来源地址可在部署后由 adminTimelock 通过一次性/受限管理方法配置。初始供应不得进入 EOA:initialize 时将固定总量先铸造至 ODDToken 自身地址,待 TierSale / HouseVault / DexLaunchController / EcosystemRewards / OpsTreasuryVault 等接收合约部署并校验后,通过 allocateInitialSupply / setFixedSourceContracts 等方法按 30% / 25% / 10% / 15% / 20% 一次性分配。所有配置地址均必须非零;开放 sale、bet、stake、LP deposit 或 DEX launch 前必须完成地址配置、代码存在性校验、白名单/treasury sink 校验和初始分配校验;初始化完成后合约不得保留任何对外增发(mint)入口。</w:t>
      </w:r>
    </w:p>
    <w:p>
      <w:pPr>
        <w:pStyle w:val="Heading1"/>
      </w:pPr>
      <w:r>
        <w:t xml:space="preserve">4. 公平发售合约(TierSale · 10 档阶梯)</w:t>
      </w:r>
    </w:p>
    <w:p>
      <w:pPr>
        <w:pStyle w:val="Heading2"/>
      </w:pPr>
      <w:r>
        <w:t xml:space="preserve">4.1 档位定义</w:t>
      </w:r>
    </w:p>
    <w:p>
      <w:pPr>
        <w:spacing w:after="120"/>
      </w:pPr>
      <w:r>
        <w:t xml:space="preserve">销售总量 30,000,000 枚,分 10 个固定价格档位,每档 3,000,000 枚。第 N 档单价 = N × $0.01(N = 1…10),即 $0.01 → $0.10。</w:t>
      </w:r>
    </w:p>
    <w:p>
      <w:pPr>
        <w:pStyle w:val="Heading2"/>
      </w:pPr>
      <w:r>
        <w:t xml:space="preserve">4.2 销售规则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按档位顺序销售:当前档售罄后自动进入下一档,价格跳变,无平滑过渡。</w:t>
      </w:r>
    </w:p>
    <w:p>
      <w:pPr>
        <w:pStyle w:val="ListParagraph"/>
        <w:numPr>
          <w:ilvl w:val="0"/>
          <w:numId w:val="2"/>
        </w:numPr>
        <w:spacing w:after="60"/>
      </w:pPr>
      <w:r>
        <w:t>同一笔购买如跨档(当前档剩余量不足),必须按实际跨越的多个档位拆分计价并一次性结算。请求购买量超过全池剩余可售量时必须 revert,不做部分成交;前端可通过 preview 方法提前计算实际 USDT 支付额。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支付资产:USDT(BEP-20)。需在前端给出每档剩余量与当前价格的实时读取接口(view 函数)。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购买的 ODD 即时转入买家地址(即买即到账),同时按第 5 节规则记账其「锁定额度」。</w:t>
      </w:r>
    </w:p>
    <w:p>
      <w:pPr>
        <w:pStyle w:val="ListParagraph"/>
        <w:numPr>
          <w:ilvl w:val="0"/>
          <w:numId w:val="2"/>
        </w:numPr>
        <w:spacing w:after="60"/>
      </w:pPr>
      <w:r>
        <w:t>单地址购买上限:MVP 默认 cap = 0 表示不启用单地址上限;合约需预留由 Timelock 配置的 per-address cap 参数,上线前如产品确认具体值则通过初始化或治理配置。</w:t>
      </w:r>
    </w:p>
    <w:p>
      <w:pPr>
        <w:pStyle w:val="Heading2"/>
      </w:pPr>
      <w:r>
        <w:t xml:space="preserve">4.3 销售时间</w:t>
      </w:r>
    </w:p>
    <w:p>
      <w:pPr>
        <w:spacing w:after="120"/>
      </w:pPr>
      <w:r>
        <w:t xml:space="preserve">销售不写死日历开始时间。TierSale 部署后默认为未开始状态,由 adminTimelock 或授权 admin 调用 startSale() 开启,链上实际 block.timestamp 记为 saleStartTime 且只允许设置一次。结束条件默认仍为 3,000 万枚全部售罄;售罄后部署 LP 的链上时刻为全局解锁锚点 poolLaunchTime(第 6 节)。销售期间需预留 pause/resume/close/cancel/forceFinalize 等管理员方法用于异常处理,最终采用延长、取消退款、人工确认售罄或继续销售由治理/运营人工决定并发事件公示。若取消后执行链上 USDT 退款,用户必须交回对应销售 ODD 并同步扣减 saleLockedRemaining;已用于下注、质押、LP、burn 或其他业务且无法交回的部分不得由管理员强制 clawback,如需无条件全额退款则必须在 launch/cancel 决策前关闭 bet / stake / LP 入口。</w:t>
      </w:r>
    </w:p>
    <w:p>
      <w:pPr>
        <w:pStyle w:val="Heading2"/>
      </w:pPr>
      <w:r>
        <w:t xml:space="preserve">4.4 募资资金与 DEX 上线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全部 USDT 募资(满额 $1,650,000)锁定于销售合约,任何人(含管理员)不得中途提取。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售罄或治理人工确认进入建池流程后,由 admin 通过 DexLaunchController / 部署流程将「确认参与建池的 USDT + 10,000,000 ODD(DEX 流动性份额)」一次性添加为 PancakeSwap V3 流动性。满额销售时初始价格 = 1,650,000 / 10,000,000 = $0.165;若治理异常处理导致非满额建池,必须按实际参与建池 USDT 与 ODD 数量计算并发事件。DEX 流动性份额登记为 DexLaunchController 的一次性可转额度,专用于建池;DEX Pair / V3 Pool 与 Router / PositionManager 不得加入普通白名单。</w:t>
      </w:r>
    </w:p>
    <w:p>
      <w:pPr>
        <w:pStyle w:val="ListParagraph"/>
        <w:numPr>
          <w:ilvl w:val="0"/>
          <w:numId w:val="2"/>
        </w:numPr>
        <w:spacing w:after="60"/>
      </w:pPr>
      <w:r>
        <w:t>PancakeSwap V3 LP NFT / position token 处理方式:进入 LP NFT / position token 锁仓合约锁定 12 个月,锁仓合约地址、position tokenId、锁定期与解锁时间必须发事件并可链上查询;本轮不采用销毁 LP NFT / position token。</w:t>
      </w:r>
    </w:p>
    <w:p>
      <w:pPr>
        <w:pStyle w:val="Heading2"/>
      </w:pPr>
      <w:r>
        <w:t>4.5 DEX 建池资金流(MVP)</w:t>
      </w:r>
    </w:p>
    <w:p>
      <w:pPr/>
      <w:r>
        <w:t xml:space="preserve">TierSale 合约持有销售期 USDT 募资,售罄或治理人工确认前不得任意提款。建池流程由具备授权的 admin/timelock 执行:TierSale 仅在 launch 或 cancel/refund 路径中允许 USDT 出账;DexLaunchController.launchPool(...) 拉取 TierSale 的 USDT 与 DexLaunchController 持有的 ODD 添加 PancakeSwap V3 流动性。DexLaunchController 必须有一次性建池转账权限或 dexLiquidityTransferableAllocation,不依赖把 DEX Pair / V3 Pool / Router / PositionManager 加入普通白名单。建池目标固定为 PancakeSwap V3,必须通过 V3 Factory / NonfungiblePositionManager 创建或复用 ODD/USDT pool;poolFee、初始价格、tick range、slippage / min amount 和 deadline 由治理或部署参数配置。建池后未使用的 ODD 或 USDT 必须退回已登记 treasury sink。</w:t>
      </w:r>
    </w:p>
    <w:p>
      <w:pPr/>
      <w:r>
        <w:t xml:space="preserve">建池成功后,DexLaunchController 必须调用 ODDToken.markDexPoolLaunched(uint64 launchTime) 写入全局建池时间。该时间只允许写入一次,不传 pair 地址;ODDToken 仅校验调用者具备 DEX_LAUNCHER_ROLE、launchTime 非零且不得晚于当前区块时间,售罄或 forceFinalize 的业务前置条件由 DexLaunchController.launchPool 在调用前校验。若销售取消并退款,不得写入 poolLaunchTime;若治理人工确认非满额建池,必须记录 forceFinalize 时间和实际建池资产。</w:t>
      </w:r>
    </w:p>
    <w:p>
      <w:pPr>
        <w:pStyle w:val="Heading1"/>
      </w:pPr>
      <w:r>
        <w:t xml:space="preserve">5. 转账限制与可卖额度系统(核心需求)</w:t>
      </w:r>
    </w:p>
    <w:p>
      <w:pPr>
        <w:spacing w:after="120"/>
      </w:pPr>
      <w:r>
        <w:rPr>
          <w:b/>
          <w:bCs/>
        </w:rPr>
        <w:t xml:space="preserve">设计目标:用户买入的 ODD 立刻可用于下注等协议内行为,但「卖出 / 转出」能力按时间表逐步解锁,以控制 DEX 上线后的瞬时抛压。</w:t>
      </w:r>
    </w:p>
    <w:p>
      <w:pPr>
        <w:pStyle w:val="Heading2"/>
      </w:pPr>
      <w:r>
        <w:t xml:space="preserve">5.1 账户余额模型</w:t>
      </w:r>
    </w:p>
    <w:p>
      <w:pPr>
        <w:spacing w:after="120"/>
      </w:pPr>
      <w:r>
        <w:t>每个地址的 ODD 余额在逻辑上分为锁定来源与可转额度(单代币实现,不发行第二种代币):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可转余额(unlocked):可自由 transfer 至任意地址,包括 DEX Pair / V3 Pool (即可卖出)。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锁定余额(locked):不得通过普通 ERC20 transfer / transferFrom 转出;只能通过白名单业务合约的业务入口调用 ODDToken 扩展接口消耗,用于下注、质押、金库 LP 出资等协议内行为;不得转至普通 EOA、DEX Pair、V3 Pool、DEX Router、PositionManager 或直接转入白名单合约。</w:t>
      </w:r>
    </w:p>
    <w:p>
      <w:pPr>
        <w:spacing w:after="120"/>
      </w:pPr>
      <w:r>
        <w:t xml:space="preserve">当前可转余额 = balanceOf(account) − 当前仍未解锁的锁定部分。未解锁锁定部分由 saleLockedRemaining / rewardLockedRemaining / businessReturnLockedRemaining 按全局解锁曲线即时计算,并受当前 ERC20 余额上限约束。ERC20 transfer / transferFrom 只负责非业务转账限制:向非白名单且非 burn 地址转出时,转出额必须小于等于当前可转余额;普通 ERC20 transfer / transferFrom 直接转入白名单业务合约必须 revert,避免无 businessId 的孤儿入金。锁定余额的业务消耗必须通过白名单业务入口触发,由业务合约调用 ODDToken 扩展接口生成来源快照并完成内部转账/transferFrom。</w:t>
      </w:r>
    </w:p>
    <w:p>
      <w:pPr>
        <w:pStyle w:val="Heading2"/>
      </w:pPr>
      <w:r>
        <w:t xml:space="preserve">5.2 锁定额度的来源与解锁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解锁方式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公平发售购买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全额锁定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建池日起按第 6.1 节 29 天阶梯全局曲线解锁(按地址购买量加权)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生态激励领取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全额锁定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自建池日起按第 6.2 节 180 天线性解锁(与领取时刻无关)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白名单业务合约回款(下注/退款/提现等)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按业务投入来源还原;业务合约记录每笔投入的锁定/可转构成,亏损同步扣减对应锁定来源,净盈利登记为可转余额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锁定本金继承原来源剩余解锁曲线;可转本金与净盈利即时可转;原曲线已满额时立即可转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从他人接收的可转余额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不锁定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可转余额转给他人后,在接收方仍为可转</w:t>
            </w:r>
          </w:p>
        </w:tc>
      </w:tr>
    </w:tbl>
    <w:p>
      <w:pPr>
        <w:pStyle w:val="Heading2"/>
      </w:pPr>
      <w:r>
        <w:t>5.2.1 MVP 实现账本字段</w:t>
      </w:r>
    </w:p>
    <w:p>
      <w:pPr/>
      <w:r>
        <w:t xml:space="preserve">实现可使用等价字段名,但必须覆盖:poolLaunchTime、whitelist、treasurySink、固定来源地址(tierSale / houseVault / dexLaunchController / ecosystemRewards)、saleLockedRemaining、rewardLockedRemaining、businessReturnLockedRemaining、dexLiquidityTransferableAllocation,以及每个地址当前可转额度/锁定余额/来源拆分的 view 计算。另需覆盖白名单业务入金来源快照与回款登记接口/账本:每笔下注、串关、CashOut、退款、质押、LP 存入等进入业务合约的操作,必须记录全局唯一 businessId = keccak256(abi.encode(businessContract,businessType,rawId))、businessIn、来源消耗明细(businessReturnLocked / saleLocked / rewardLocked / transferable)、记录时间、业务类型和 rawId,供后续出金/亏损/退款/提现时还原。businessIn 为用户本次业务实际被扣走的全部 ODD,包括本金/下注额/LP 本金/质押本金以及用户侧承担的税费或 fee;businessOutDelta 为本次用户实际收到的 ODD,Token 侧按 businessId 累计 totalBusinessOut。若实现选择保留 cumulative purchased/claimed 字段,也必须同时能扣减已花掉或已亏损的来源本金,不得只做累计不做消耗。</w:t>
      </w:r>
    </w:p>
    <w:p>
      <w:pPr/>
      <w:r>
        <w:t xml:space="preserve">账本必须保证锁定余额通过白名单业务入口进入业务、在业务中亏损或被 burn 后会同步消耗对应锁定来源,用户输掉、销毁或提现后不得继续按已花掉/已亏损的购买量或奖励量产生额外可转额度。向非白名单地址转出的普通可转余额不主动扣减锁定来源,由当前 ERC20 balance 与剩余锁定来源共同约束后续可转额度。用户直接 transfer / transferFrom 到白名单业务合约必须 revert;没有 businessId 和来源快照的转账不得形成有效业务入金。</w:t>
      </w:r>
    </w:p>
    <w:p>
      <w:r>
        <w:t xml:space="preserve">锁定来源消耗顺序(MVP 固定):当白名单业务合约通过业务入口为用户消耗来源或用户 burn 时,先消耗 businessReturnLockedRemaining,再消耗 saleLockedRemaining,再消耗 rewardLockedRemaining,最后才消耗已可转余额。业务合约必须把该消耗结果绑定到全局唯一 businessId。出金登记使用增量 businessOutDelta,Token 累计 totalBusinessOut;结算时以 totalBusinessOut - businessIn 计算 PnL:大于 0 的差额为净盈利并登记为可转余额;小于 0 的绝对值为亏损并按该业务来源快照扣减锁定/可转来源;等于 0 则只按原来源返还本金。每次登记只处理新增 delta,不得重复计算历史出金;部分退款/提现/派奖按已返还本金比例还原来源。</w:t>
      </w:r>
    </w:p>
    <w:p>
      <w:pPr>
        <w:pStyle w:val="Heading2"/>
      </w:pPr>
      <w:r>
        <w:t xml:space="preserve">5.3 白名单(锁定余额可交互的合约)</w:t>
      </w:r>
    </w:p>
    <w:p>
      <w:pPr>
        <w:pStyle w:val="ListParagraph"/>
        <w:numPr>
          <w:ilvl w:val="0"/>
          <w:numId w:val="4"/>
        </w:numPr>
        <w:spacing w:after="60"/>
      </w:pPr>
      <w:r>
        <w:t>BettingPool / LiquidityPool / StakingPool 等现有业务合约(用户下注、做市、质押时锁定余额可用)</w:t>
      </w:r>
    </w:p>
    <w:p>
      <w:pPr>
        <w:pStyle w:val="ListParagraph"/>
        <w:numPr>
          <w:ilvl w:val="0"/>
          <w:numId w:val="4"/>
        </w:numPr>
        <w:spacing w:after="60"/>
      </w:pPr>
      <w:r>
        <w:t>HouseVault 独立储备金库(仅作为储备持仓与治理划转来源,不接管 BettingPool / LiquidityPool 结算)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EcosystemRewards 生态激励合约(含质押/金库LP/推广)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TierSale 销售合约(退款等管理路径,如有)</w:t>
      </w:r>
    </w:p>
    <w:p>
      <w:pPr>
        <w:spacing w:after="120"/>
      </w:pPr>
      <w:r>
        <w:t xml:space="preserve">白名单必须为可治理列表(多签/Timelock 可增删),每次变更需发事件(event)。白名单仅表示该合约可通过业务入口调用 ODDToken 扩展接口消耗锁定来源,不代表用户可用普通 ERC20 transfer / transferFrom 直接转入。除业务入口消耗、burn 与明确登记的 treasury sink 平台路径外,锁定余额不得转出,以防「转移到新地址绕过限制」。DEX Pair、V3 Pool、DEX Router、PositionManager 与普通 EOA 不得加入白名单。白名单可在各 proxy / 配套合约部署完成后通过 setWhitelist 分步配置;运行期新增白名单必须校验 account.code.length &gt; 0,部署脚本必须断言 BettingPool / LiquidityPool / StakingPool 等业务 proxy 已部署代码后才能开放业务。</w:t>
      </w:r>
    </w:p>
    <w:p>
      <w:r>
        <w:t>Treasury sink 是独立于用户白名单的接收/出账地址集合,用于 platformTreasury、OpsTreasuryVault、TimelockController 等平台收入/运营金库场景。白名单业务合约向 treasury sink 转账时仅执行标准余额转移,不得登记为用户业务回款锁定余额;treasury sink 持有的余额视为平台自有可转余额,从 treasury sink 向外划转不受用户锁仓额度限制,但必须由 OpsTreasuryVault / TimelockController 在合约层执行 48 小时时间锁治理。</w:t>
      </w:r>
    </w:p>
    <w:p>
      <w:r>
        <w:t xml:space="preserve">来源分类规则(MVP):TierSale -&gt; 用户登记 saleLockedRemaining;EcosystemRewards -&gt; 用户登记 rewardLockedRemaining;用户/普通地址 -&gt; BettingPool / LiquidityPool / StakingPool 等业务白名单时,普通 ERC20 直接转入必须 revert,只能通过业务入口消耗锁定来源并生成来源快照;businessId 必须按 keccak256(abi.encode(businessContract,businessType,rawId)) 保证全局唯一。BettingPool / LiquidityPool / StakingPool -&gt; 用户时,必须按业务结果登记:Token 侧累计 totalBusinessOut,以 totalBusinessOut - businessIn 判断净盈利/亏损;businessIn 为实际扣款总额,businessOutDelta 为本次实际到账额。BettingPool 推荐奖励、LP 正收益、staking reward 等业务净收益均登记为可转余额。HouseVault 仅允许转至白名单合约或 treasury sink,不得向普通用户、DEX Pair、V3 Pool、DEX Router 或 PositionManager 出账;DexLaunchController 的 10,000,000 ODD 初始份额作为建池专用可转额度,只能通过 DexLaunchController 的建池流程使用,建池后剩余退回 treasury sink。</w:t>
      </w:r>
    </w:p>
    <w:p>
      <w:pPr>
        <w:pStyle w:val="Heading2"/>
      </w:pPr>
      <w:r>
        <w:t xml:space="preserve">5.4 防绕过要求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锁定余额不得通过 approve + transferFrom 路径绕过业务入口;普通 transfer 与 transferFrom 必须走同一套 _update 校验,直接转入白名单业务合约和转出超可转额度均必须 revert。</w:t>
      </w:r>
    </w:p>
    <w:p>
      <w:r>
        <w:t>解锁额度计算必须基于不可被用户操控的全局时间表,不接受任何用户侧参数。</w:t>
      </w:r>
    </w:p>
    <w:p>
      <w:pPr>
        <w:pStyle w:val="Heading2"/>
      </w:pPr>
      <w:r>
        <w:t>5.5 白名单合约出账的 MVP 规则</w:t>
      </w:r>
    </w:p>
    <w:p>
      <w:pPr/>
      <w:r>
        <w:t xml:space="preserve">MVP 阶段不再采用「白名单业务合约回款全额锁定」规则。ODDToken 不自行推断下注、本金、净赢利、退款、提现等业务语义;BettingPool / LiquidityPool / StakingPool 等白名单业务合约必须在用户入金时通过 Token 扩展接口绑定来源快照,在出账前调用 ODDToken 授权登记接口提交 businessIn / businessOutDelta / principalReturnedDelta / lossDelta / profitDelta 拆分。businessIn 为用户实际被扣走的全部 ODD;businessOutDelta 为用户本次实际收到的 ODD,Token 侧累计 totalBusinessOut。回款拆分规则:totalBusinessOut - businessIn &gt; 0 的差额为净盈利,登记为可转余额;totalBusinessOut - businessIn &lt; 0 的差额为亏损,永久扣减对应来源账本;剩余本金按原快照中的锁定/可转构成和对应解锁曲线返还。BettingPool.claimReferralRewards、StakingPool.unstake/earlyUnstake、LiquidityPool.withdraw、CashOut、退款和派奖均必须走该登记规则。EcosystemRewards 合约由 admin/REWARD_DISTRIBUTOR_ROLE 创建可领取奖励,用户 claim 后登记为 rewardLockedRemaining。白名单业务合约向 treasury sink 转出的平台税金、平台收益、无活跃权重奖励回收等不属于用户回款,不得登记锁仓。</w:t>
      </w:r>
    </w:p>
    <w:p>
      <w:pPr/>
      <w:r>
        <w:t xml:space="preserve">该规则保持 ERC20 标准接口兼容,但现有业务合约需要在 transfer / transferFrom / safeTransfer / safeTransferFrom 资金流之外接入来源快照与回款登记扩展接口。普通 transfer / transferFrom 直接转入白名单业务合约必须 revert;锁定余额只能由业务入口完成来源消耗与转账。不得在无有效来源快照的情况下默认把业务回款全额锁定;无法提供拆分时必须 revert,或走治理明确批准的保守锁定路径并发事件,避免 DEX 可转用户因正常下注、退款或提现被误锁。</w:t>
      </w:r>
    </w:p>
    <w:p>
      <w:pPr>
        <w:pStyle w:val="Heading2"/>
      </w:pPr>
      <w:r>
        <w:t>5.6 transfer / _update 判定矩阵(MVP)</w:t>
      </w:r>
    </w:p>
    <w:p>
      <w:pPr/>
      <w:r>
        <w:t>用户或普通地址 -&gt; 非白名单地址 / DEX Pair / V3 Pool:仅允许动用当前可转额度,超额必须 revert;该路径不消耗锁定来源本金,由余额减少自然降低后续可转余额。</w:t>
      </w:r>
    </w:p>
    <w:p>
      <w:pPr/>
      <w:r>
        <w:t xml:space="preserve">用户或普通地址 -&gt; 白名单业务合约:普通 ERC20 transfer / transferFrom 必须 revert,避免绕过业务入口形成无来源快照的入金;锁定余额只能通过白名单业务合约作为调用方的业务入口/扩展接口消耗,按 businessReturnLockedRemaining -&gt; saleLockedRemaining -&gt; rewardLockedRemaining -&gt; 已可转余额的固定顺序生成来源快照并绑定全局唯一 businessId。</w:t>
      </w:r>
    </w:p>
    <w:p>
      <w:pPr/>
      <w:r>
        <w:t xml:space="preserve">用户或普通地址 -&gt; address(0) burn:允许销毁自身余额,但 pause 状态下不可执行;burn 使用与业务入口消耗相同的来源消耗顺序,必须同步扣减锁定来源账本。</w:t>
      </w:r>
    </w:p>
    <w:p>
      <w:pPr/>
      <w:r>
        <w:t xml:space="preserve">TierSale / EcosystemRewards -&gt; 用户:TierSale 发放登记为销售锁定;EcosystemRewards 由 admin 或授权分发者按业务活动触发奖励并登记为奖励锁定,解锁分别按 29 天阶梯或 180 天线性规则计算。BettingPool 内部推荐奖励不走 EcosystemRewards,claimReferralRewards 视为业务净收益并登记为可转余额。</w:t>
      </w:r>
    </w:p>
    <w:p>
      <w:pPr/>
      <w:r>
        <w:t xml:space="preserve">BettingPool / LiquidityPool / StakingPool -&gt; 用户:必须按已登记的业务来源快照回款;Token 侧累计 businessOutDelta 为 totalBusinessOut,以 totalBusinessOut - businessIn 计算净额,亏损扣减已消耗来源,本金按剩余来源构成返还,净盈利登记为可转余额。DEX / 普通可转来源投入产生的本金与盈利不得被重新锁定。</w:t>
      </w:r>
    </w:p>
    <w:p>
      <w:pPr/>
      <w:r>
        <w:t>DEX Pair / V3 Pool / 普通可转地址 -&gt; 用户:发送方必须拥有足够可转余额;接收方获得普通可转余额,不得被白名单规则误伤。</w:t>
      </w:r>
    </w:p>
    <w:p>
      <w:r>
        <w:t>白名单合约 -&gt; 白名单合约:仅执行标准余额转移,不按用户回款登记;如后续业务需要来源还原,由业务合约扩展接口显式登记。</w:t>
      </w:r>
    </w:p>
    <w:p>
      <w:r>
        <w:t>白名单业务合约 -&gt; treasury sink(platformTreasury / OpsTreasuryVault / TimelockController):仅执行标准余额转移,不登记用户锁定余额,用于兼容现有 BettingPool / StakingPool 的平台税金、平台份额和奖励回收路径。</w:t>
      </w:r>
    </w:p>
    <w:p>
      <w:r>
        <w:t>HouseVault -&gt; 普通用户 / DEX Pair / V3 Pool / DEX Router / PositionManager:必须 revert;HouseVault 仅可向白名单合约或 treasury sink 做治理划转。</w:t>
      </w:r>
    </w:p>
    <w:p>
      <w:r>
        <w:t>treasury sink -&gt; 任意地址:Token 层视为平台自有可转余额正常转账,不登记用户锁仓;合规性由 OpsTreasuryVault / TimelockController 的 48 小时时间锁和事件公示保证。</w:t>
      </w:r>
    </w:p>
    <w:p>
      <w:pPr>
        <w:pStyle w:val="Heading1"/>
      </w:pPr>
      <w:r>
        <w:t xml:space="preserve">6. 解锁时间表</w:t>
      </w:r>
    </w:p>
    <w:p>
      <w:pPr>
        <w:pStyle w:val="Heading2"/>
      </w:pPr>
      <w:r>
        <w:t xml:space="preserve">6.1 销售份额:29 天阶梯解锁(锚定建池日)</w:t>
      </w:r>
    </w:p>
    <w:p>
      <w:pPr>
        <w:spacing w:after="120"/>
      </w:pPr>
      <w:r>
        <w:t xml:space="preserve">解锁起算点:DEX 建池时刻(售罄后部署流动性的链上时间戳,记为 poolLaunchTime,全局唯一、一经写入不可修改)。全局解锁曲线:建池后第 d 天(d = 1…29)解锁全销售池的 d/435(权重 1…29 等差,总和 435)。每地址已解锁额度 = 其购买总量 × 全局累计解锁比例。逐日明细如下: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2600"/>
        <w:gridCol w:w="1500"/>
        <w:gridCol w:w="24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当日比例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当日解锁量(全池,枚)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累计比例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累计解锁(枚)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0.23%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68,966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0.23%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68,966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137,931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0.69%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206,897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3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206,897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1.38%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413,794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4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275,862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689,656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5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344,828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3.45%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1,034,484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6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413,793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4.83%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1,448,277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7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482,759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6.44%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1,931,036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8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1.84%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551,724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8.28%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2,482,760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9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2.07%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620,690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10.34%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3,103,450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10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689,655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12.64%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3,793,105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11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758,621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15.17%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4,551,726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12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2.76%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827,586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17.93%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5,379,312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13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2.99%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896,552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20.92%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6,275,864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14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965,517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24.14%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7,241,381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15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3.45%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1,034,483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27.59%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8,275,864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16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3.68%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1,103,448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31.26%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9,379,312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17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3.91%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1,172,414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35.17%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10,551,726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18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4.14%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1,241,379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39.31%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11,793,105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19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4.37%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1,310,345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43.68%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13,103,450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20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4.60%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1,379,310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48.28%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14,482,760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21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4.83%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1,448,276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53.10%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15,931,036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22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5.06%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1,517,241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58.16%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17,448,277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23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5.29%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1,586,207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63.45%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19,034,484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24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5.52%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1,655,172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68.97%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20,689,656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25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5.75%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1,724,138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74.71%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22,413,794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26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5.98%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1,793,103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80.69%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24,206,897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27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6.21%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1,862,069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86.90%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26,068,966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28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6.44%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1,931,034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28,000,000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29 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6.67%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30,000,000</w:t>
            </w:r>
          </w:p>
        </w:tc>
      </w:tr>
    </w:tbl>
    <w:p>
      <w:pPr>
        <w:spacing w:after="120"/>
      </w:pPr>
      <w:r>
        <w:t xml:space="preserve">合约实现建议:无需逐日写入,公式即时计算——d = floor((now − poolLaunchTime) / 86400) + 1,钳制于 [0, 29];累计比例 = d(d+1)/870,d ≥ 29 时为 100%。poolLaunchTime 写入前(即建池前)解锁比例恒为 0。</w:t>
      </w:r>
    </w:p>
    <w:p>
      <w:pPr>
        <w:pStyle w:val="Heading2"/>
      </w:pPr>
      <w:r>
        <w:t xml:space="preserve">6.2 奖励份额:6 个月线性释放</w:t>
      </w:r>
    </w:p>
    <w:p>
      <w:pPr>
        <w:spacing w:after="120"/>
      </w:pPr>
      <w:r>
        <w:t xml:space="preserve">领取(claim):生态激励按质押、金库 LP、推广三类业务规则累计,由 adminTimelock / REWARD_DISTRIBUTOR_ROLE 创建用户可领取额度,用户随赚随领,claim 时间不受限制;领取到地址的代币为锁定状态,可通过业务入口立即用于下注等白名单业务。</w:t>
      </w:r>
    </w:p>
    <w:p>
      <w:pPr>
        <w:spacing w:after="120"/>
      </w:pPr>
      <w:r>
        <w:t xml:space="preserve">解锁(可卖):所有奖励代币统一自 poolLaunchTime(建池时刻)起 180 天线性解锁(每秒线性,无悬崖),与领取时刻无关。即:可卖比例 = min((now − poolLaunchTime) / 180天, 1),建池前恒为 0。同一地址多笔领取共享同一条全局曲线,无需按批次独立计时。</w:t>
      </w:r>
    </w:p>
    <w:p>
      <w:pPr>
        <w:pStyle w:val="Heading2"/>
      </w:pPr>
      <w:r>
        <w:t xml:space="preserve">6.3 生态/运营金库:多签 + 48 小时时间锁公示</w:t>
      </w:r>
    </w:p>
    <w:p>
      <w:pPr>
        <w:spacing w:after="120"/>
      </w:pPr>
      <w:r>
        <w:t>生态/运营金库(20%,20,000,000 枚)进入 OpsTreasuryVault 或直接由 OpenZeppelin TimelockController 持有,不直接进入多签 EOA/ Safe 余额。多签仅作为 Timelock 的 proposer/canceller;每次划转需排队进入 48 小时时间锁并发事件链上公示,到期后执行。用途包括 CEX 上币押金、做市商保证金、市场营销与协议运营等对外开支。</w:t>
      </w:r>
    </w:p>
    <w:p>
      <w:pPr>
        <w:pStyle w:val="Heading1"/>
      </w:pPr>
      <w:r>
        <w:t>7. 独立储备金库与业务交互规则(代币侧)</w:t>
      </w:r>
    </w:p>
    <w:p>
      <w:pPr>
        <w:pStyle w:val="Heading2"/>
      </w:pPr>
      <w:r>
        <w:t>7.1 HouseVault 独立性与储备用途</w:t>
      </w:r>
    </w:p>
    <w:p>
      <w:pPr>
        <w:pStyle w:val="ListParagraph"/>
        <w:numPr>
          <w:ilvl w:val="0"/>
          <w:numId w:val="3"/>
        </w:numPr>
        <w:spacing w:after="60"/>
      </w:pPr>
      <w:r>
        <w:t>HouseVault 接收 25,000,000 ODD 储备份额,作为独立储备金库存在;它不替代、不影响当前 BettingPool / LiquidityPool 的下注、结算、赔付、LP 瀑布和准备金逻辑。</w:t>
      </w:r>
    </w:p>
    <w:p>
      <w:pPr>
        <w:pStyle w:val="ListParagraph"/>
        <w:numPr>
          <w:ilvl w:val="0"/>
          <w:numId w:val="3"/>
        </w:numPr>
        <w:spacing w:after="60"/>
      </w:pPr>
      <w:r>
        <w:t>HouseVault 默认不直接处理用户下注输赢,不直接向用户结算赔付;如未来需要增厚赔付深度,只能通过多签 + 时间锁向 BettingPool 平台准备金、LiquidityPool 协议自有 LP 或其他白名单合约划转。</w:t>
      </w:r>
    </w:p>
    <w:p>
      <w:pPr>
        <w:pStyle w:val="ListParagraph"/>
        <w:numPr>
          <w:ilvl w:val="0"/>
          <w:numId w:val="3"/>
        </w:numPr>
        <w:spacing w:after="60"/>
      </w:pPr>
      <w:r>
        <w:t>HouseVault 地址不得直接向 DEX Pair / V3 Pool 或非白名单地址转出;所有管理划转必须发事件,并遵守第 8 节权限与时间锁要求。</w:t>
      </w:r>
    </w:p>
    <w:p>
      <w:pPr>
        <w:pStyle w:val="Heading2"/>
      </w:pPr>
      <w:r>
        <w:t xml:space="preserve">7.2 业务赔付的本金/净赢利拆分(MVP 必须实现)</w:t>
      </w:r>
    </w:p>
    <w:p>
      <w:pPr>
        <w:spacing w:after="120"/>
      </w:pPr>
      <w:r>
        <w:t xml:space="preserve">MVP 阶段必须实现本金/净赢利拆分。白名单业务合约向用户回款时,不得默认全额登记为业务回款锁定余额;必须按第 5.5 / 5.6 节根据业务来源快照还原本金、扣减亏损并单独登记净盈利。统一 PnL 口径为:businessIn 是用户实际被扣走的 ODD,totalBusinessOut 是用户累计实际收到的 ODD;totalBusinessOut - businessIn &gt; 0 的部分为净盈利并即时可转,totalBusinessOut - businessIn &lt; 0 的部分为亏损并扣减来源账本。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净赢利(赔付额 − 已返还本金,或业务收益扣除本金后的正收益)由业务合约计算后登记为可转额度,即时可卖;不得进入 businessReturnLockedRemaining。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本金由业务合约按用户入金时记录的锁定/可转构成登记还原;已亏损部分永久扣减对应锁定来源和/或可转投入。</w:t>
      </w:r>
    </w:p>
    <w:p>
      <w:pPr>
        <w:spacing w:after="120"/>
      </w:pPr>
      <w:r>
        <w:t xml:space="preserve">该拆分同时防止「锁定币 -&gt; 下注 -&gt; 回款 -&gt; 全额可转」的洗解锁路径,也避免「DEX 可转币 -&gt; 下注/退款/赢利 -&gt; 被重新锁定」误伤普通用户。</w:t>
      </w:r>
    </w:p>
    <w:p>
      <w:pPr>
        <w:pStyle w:val="Heading2"/>
      </w:pPr>
      <w:r>
        <w:t xml:space="preserve">7.3 混合下注的本金还原规则(MVP 必须实现)</w:t>
      </w:r>
    </w:p>
    <w:p>
      <w:pPr>
        <w:spacing w:after="120"/>
      </w:pPr>
      <w:r>
        <w:t xml:space="preserve">MVP 必须在 BettingPool / Parlay / Refund / CashOut / StakingPool / LiquidityPool 等业务账本或 ODDToken 业务快照账本中记录每笔投入的锁定/可转构成,包括金额、来源类型、记录时间、业务类型、rawId 和全局唯一 businessId,并在结算、退款、CashOut、unstake、withdraw 时调用 ODDToken 授权登记接口按 businessOutDelta 增量还原。混合投入时,亏损按实际消耗来源扣减;本金返还继承原来源剩余解锁进度;净盈利登记为可转余额。</w:t>
      </w:r>
    </w:p>
    <w:p>
      <w:pPr>
        <w:pStyle w:val="Heading2"/>
      </w:pPr>
      <w:r>
        <w:t>7.4 HouseVault 储备份额的封闭性</w:t>
      </w:r>
    </w:p>
    <w:p>
      <w:pPr>
        <w:spacing w:after="120"/>
      </w:pPr>
      <w:r>
        <w:t>HouseVault 的 25,000,000 ODD 储备份额不直接进入当前「用户 ↔ BettingPool ↔ LiquidityPool」结算闭环。HouseVault 仅作为独立储备持仓和治理划转来源,不得向 DEX Pair / V3 Pool 或其他非白名单地址转出;提取/管理操作需多签 + 48 小时时间锁。</w:t>
      </w:r>
    </w:p>
    <w:p>
      <w:pPr>
        <w:pStyle w:val="Heading1"/>
      </w:pPr>
      <w:r>
        <w:t xml:space="preserve">8. 权限与安全要求</w:t>
      </w:r>
    </w:p>
    <w:p>
      <w:pPr>
        <w:pStyle w:val="ListParagraph"/>
        <w:spacing w:after="60"/>
      </w:pPr>
      <w:r>
        <w:t xml:space="preserve">管理权限采用极简治理:DEFAULT_ADMIN_ROLE、UPGRADER_ROLE、WHITELIST_ADMIN_ROLE、HOUSEVAULT_MANAGER_ROLE、DEX_LAUNCHER_ROLE、SALE_ADMIN_ROLE、REWARD_DISTRIBUTOR_ROLE 等关键权限由 OpenZeppelin TimelockController 或其授权合约持有,最小延迟 48 小时;多签钱包作为 Timelock 的 proposer/canceller。PAUSER_ROLE 为应急权限,由多签直接持有,不经过 48 小时时间锁。DEX_LAUNCHER_ROLE 可由 DexLaunchController 或 timelock 授权地址持有,仅用于一次性建池和写入建池时间。</w:t>
      </w:r>
    </w:p>
    <w:p>
      <w:pPr>
        <w:pStyle w:val="ListParagraph"/>
        <w:spacing w:after="60"/>
      </w:pPr>
      <w:r>
        <w:t>ODDToken 需提供全局紧急暂停(pause)能力;暂停后所有 transfer / transferFrom / burn 均应停止,包括用户转账、DEX 交易和白名单业务合约资金流。启用全局暂停前,运营需同步暂停相关业务入口并评估未完成赔付/退款影响。</w:t>
      </w:r>
    </w:p>
    <w:p>
      <w:pPr>
        <w:pStyle w:val="ListParagraph"/>
        <w:spacing w:after="60"/>
      </w:pPr>
      <w:r>
        <w:t xml:space="preserve">所有状态变更需发标准事件,便于前端与监控索引。</w:t>
      </w:r>
    </w:p>
    <w:p>
      <w:pPr>
        <w:pStyle w:val="ListParagraph"/>
        <w:spacing w:after="60"/>
      </w:pPr>
      <w:r>
        <w:t xml:space="preserve">上线前必须完成第三方审计;审计范围包括代币合约、TierSale、解锁记账、与金库的交互边界。</w:t>
      </w:r>
    </w:p>
    <w:p>
      <w:pPr>
        <w:pStyle w:val="ListParagraph"/>
        <w:spacing w:after="60"/>
      </w:pPr>
      <w:r>
        <w:t xml:space="preserve">禁止在代币合约中内置:交易税、黑名单(白名单机制除外)、管理员任意转移用户余额的能力。</w:t>
      </w:r>
    </w:p>
    <w:p>
      <w:pPr>
        <w:pStyle w:val="Heading2"/>
      </w:pPr>
      <w:r>
        <w:t>8.1 ODDToken 外部方法清单(MVP)</w:t>
      </w:r>
    </w:p>
    <w:p>
      <w:pPr>
        <w:pStyle w:val="ListParagraph"/>
      </w:pPr>
      <w:r>
        <w:t xml:space="preserve">initialize(adminTimelock,pauser): 新部署 proxy 时只初始化最小角色、固定供应与基础暂停/升级能力;adminTimelock 与 pauser 必须非零。初始供应不得进入 EOA,固定供应先铸造至 ODDToken 自身地址。随后由 adminTimelock 通过 setFixedSourceContracts / setWhitelist / setTreasurySink / allocateInitialSupply 等方法配置 tierSale、houseVault、dexLaunchController、ecosystemRewards、opsTreasuryVault、业务白名单和 treasury sink,并按 30% / 25% / 10% / 15% / 20% 一次性分配。initialWhitelist 建议使用部署后真实业务 proxy 地址,运行期新增白名单必须校验 code.length &gt; 0;数组长度必须设置上限(建议 initialWhitelist &lt;= 32,treasurySinks &lt;= 16),逐项校验非零。</w:t>
      </w:r>
    </w:p>
    <w:p>
      <w:pPr>
        <w:pStyle w:val="ListParagraph"/>
      </w:pPr>
      <w:r>
        <w:t>pause() / unpause(): 由 PAUSER_ROLE 调用;pause 为应急多签直控,不进入 48 小时时间锁。</w:t>
      </w:r>
    </w:p>
    <w:p>
      <w:pPr>
        <w:pStyle w:val="ListParagraph"/>
      </w:pPr>
      <w:r>
        <w:t xml:space="preserve">burn(uint256 amount): 持有人仅可销毁自身余额;pause 状态下不可执行;允许销毁锁定余额,但必须按第 5.6 节来源消耗顺序同步扣减内部锁定/可转账本。</w:t>
      </w:r>
    </w:p>
    <w:p>
      <w:pPr>
        <w:pStyle w:val="ListParagraph"/>
      </w:pPr>
      <w:r>
        <w:t xml:space="preserve">setWhitelist(address account,bool allowed): 由 WHITELIST_ADMIN_ROLE 调用,该角色由 timelock 持有;用于管理可调用业务入口并消耗锁定来源的业务合约地址。运行期新增或部署后首批写入白名单时,account 必须已部署代码,且不得为 DEX Pair、V3 Pool、DEX Router、PositionManager 或普通 EOA;所有白名单变更必须发事件并纳入部署 gate 校验。</w:t>
      </w:r>
    </w:p>
    <w:p>
      <w:r>
        <w:t>setTreasurySink(address account,bool allowed): 由 WHITELIST_ADMIN_ROLE 调用,用于登记平台金库/时间锁接收与出账地址;白名单业务合约转入 treasury sink 时不登记用户回款锁仓,treasury sink 向外转账视为平台自有可转余额。BettingPool / StakingPool 的 platformTreasury 变更必须与该列表保持一致。</w:t>
      </w:r>
    </w:p>
    <w:p>
      <w:pPr>
        <w:pStyle w:val="ListParagraph"/>
      </w:pPr>
      <w:r>
        <w:t xml:space="preserve">markDexPoolLaunched(uint64 launchTime): 由 DEX_LAUNCHER_ROLE 授权的 DexLaunchController 或 timelock 授权地址调用,只允许写入一次;launchTime 必须非零、不得晚于 block.timestamp,函数不接收 pair 地址。TierSale 已售罄或 forceFinalize、实际建池资产和经济下限等业务前置条件由 DexLaunchController.launchPool 校验后再调用 Token。</w:t>
      </w:r>
    </w:p>
    <w:p>
      <w:pPr>
        <w:pStyle w:val="ListParagraph"/>
      </w:pPr>
      <w:r>
        <w:t xml:space="preserve">新增业务来源登记方法(命名可等价):consumeBusinessInflow(user,businessType,rawId,amount) 返回或记录全局唯一 businessId = keccak256(abi.encode(msg.sender,businessType,rawId));registerBusinessOutcomeDelta(user,businessId,businessOutDelta,principalReturnedDelta,lossDelta,profitDelta) 或合并版本。方法需记录白名单业务入金来源快照、累计 totalBusinessOut、登记业务回款本金还原、登记亏损扣减、登记净盈利可转余额;仅白名单业务合约可调用,并必须发事件。view 方法需覆盖 whitelist 状态、treasury sink 状态、固定来源地址、poolLaunchTime、账户锁定余额、账户当前可转额度、来源拆分余额、业务来源快照、businessIn/totalBusinessOut/businessOutDelta、亏损扣减记录、销售/奖励/业务回款解锁预览。</w:t>
      </w:r>
    </w:p>
    <w:p>
      <w:pPr>
        <w:pStyle w:val="Heading2"/>
      </w:pPr>
      <w:r>
        <w:t>8.2 角色清单(MVP)</w:t>
      </w:r>
    </w:p>
    <w:p>
      <w:pPr/>
      <w:r>
        <w:t xml:space="preserve">DEFAULT_ADMIN_ROLE / UPGRADER_ROLE / WHITELIST_ADMIN_ROLE / HOUSEVAULT_MANAGER_ROLE / SALE_ADMIN_ROLE / REWARD_DISTRIBUTOR_ROLE:授予 adminTimelock 或由 adminTimelock 授权的合约。PAUSER_ROLE:授予 pauser 多签。DEX_LAUNCHER_ROLE:授予 DexLaunchController 或 timelock 授权地址。业务白名单地址与 treasury sink 地址由 WHITELIST_ADMIN_ROLE 管理,变更必须发事件。</w:t>
      </w:r>
    </w:p>
    <w:p>
      <w:pPr>
        <w:pStyle w:val="Heading2"/>
      </w:pPr>
      <w:r>
        <w:t>8.3 全量重部署与初始化顺序</w:t>
      </w:r>
    </w:p>
    <w:p>
      <w:pPr/>
      <w:r>
        <w:t xml:space="preserve">本轮不做旧 proxy 升级迁移,所有依赖新 ODD 地址的合约和 proxy 均重新部署。部署脚本必须同步替换当前 ODDToken.initialize(admin) 调用和业务合约初始化参数,并同步测试 helper、fork 测试、BSC 部署脚本与 API 文档。ODDToken 初始化不再承载全部业务地址;固定来源地址、白名单、treasury sink 与初始分配通过部署后受限方法配置。</w:t>
      </w:r>
    </w:p>
    <w:p>
      <w:pPr/>
      <w:r>
        <w:t xml:space="preserve">为避免循环依赖和未初始化 proxy 风险,部署必须采用 proxy 构造器 initData 一次性完成最小 initialize,不得留下可被第三方抢先 initialize 的窗口。地址配置可在所有 proxy / 配套合约部署完成后由 adminTimelock 或部署脚本分步写入;CREATE2 / 确定性部署可作为推荐方案用于预计算和复核,但不再要求把所有地址一次性塞入 ODDToken.initialize。部署 gate:模块地址、platformTreasury/treasurySink、BettingPool/LiquidityPool/StakingPool 相互依赖、ODDToken 白名单与固定来源地址、初始分配、TierSale startSale 权限全部配置并校验通过前,不得开放 sale、bet、stake、LP deposit 或 DEX launch。</w:t>
      </w:r>
    </w:p>
    <w:p>
      <w:pPr>
        <w:pStyle w:val="Heading2"/>
      </w:pPr>
      <w:r>
        <w:t>8.4 配套合约最小外部方法清单(MVP)</w:t>
      </w:r>
    </w:p>
    <w:p>
      <w:pPr/>
      <w:r>
        <w:t xml:space="preserve">TierSale:buy/previewTier/getCurrentTier/getRemainingByTier/startSale/pauseSale/resumeSale/closeSale/cancelSale/forceFinalize/approveLaunch 或 approveUSDT/soldOut/soldOutTime/saleStartTime 状态读取;USDT 全程由 TierSale 持有,售罄或治理人工确认前不得 approve 或转出募资,取消路径只能退款或按治理决定处理。DexLaunchController:launchPool(...)、通过 PancakeSwap V3 NonfungiblePositionManager mint 并锁定 LP NFT / position token、成功后调用 markDexPoolLaunched(uint64 launchTime);launchPool 必须校验 TierSale 已售罄或治理已 forceFinalize、USDT 与 ODD 数量正确、PancakeSwap V3 poolFee / tick range / min amount / deadline 配置正确、LP position mint 成功后才写入 poolLaunchTime,建池后剩余资产退回 treasury sink。BettingPool 推荐奖励 USDT swap 生产路径必须使用 Pancake V3 Router exactInputSingle + poolFee;当前代码审查结果为已使用 V3,仓库中的 V2 Router 仅限 fork/test 资金准备路径,不得作为生产 BettingPool swap 路径。</w:t>
      </w:r>
    </w:p>
    <w:p>
      <w:pPr/>
      <w:r>
        <w:t xml:space="preserve">HouseVault:仅允许 timelock 管理划转至白名单合约或 treasury sink,不得直接向 DEX Pair / V3 Pool 或非白名单地址转出。EcosystemRewards:由 adminTimelock / REWARD_DISTRIBUTOR_ROLE 创建用户可领取奖励额度;用户 claim 后由合约转出并登记为 rewardLockedRemaining,同时提供奖励解锁预览。OpsTreasuryVault:由 TimelockController 控制对外划转。</w:t>
      </w:r>
    </w:p>
    <w:p>
      <w:pPr>
        <w:pStyle w:val="Heading1"/>
      </w:pPr>
      <w:r>
        <w:t xml:space="preserve">9. 关键边界情况(开发与测试必须覆盖)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用户同时持有锁定与可转余额,向 DEX 卖出时只允许动用可转部分;超额交易必须 revert 并给出明确错误码。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PancakeSwap V3 LP NFT mint/increase/decrease/collect、聚合器(如 1inch)路由路径的兼容性:校验逻辑必须区分普通 ERC20 转账、白名单业务入口消耗和 DexLaunchController 建池路径;需确认不误伤正常买入(买入方向 DEX Pair / V3 Pool -&gt; 用户,接收方为用户,应放行并计入可转余额),同时用户普通转入白名单业务合约必须失败。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跨档购买、最后一档收尾(剩余不足一笔订单)的结算正确性。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解锁曲线在 poolLaunchTime 写入前(应恒为 0)、建池后第 1 天边界、第 29 天之后的取值(d 钳制在 [0, 29])。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用户在解锁开始前将锁定余额通过业务入口用于下注、质押、LP 或 burn 后:其锁定来源账本需同步按固定顺序扣减;若该业务最终亏损,亏损部分必须继续减少用户锁定来源,不得出现「锁定余额已花掉或已输掉但解锁额度仍按原购买量/奖励量累计」导致超发可转额度。用户普通 transfer / transferFrom 到白名单业务合约必须 revert,不得生成业务入金。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反洗解锁验证(MVP):锁定币投入白名单业务后,本金只能按原来源剩余曲线返还;亏损必须扣减锁定来源;净盈利可转。不得通过下注、退款、CashOut、unstake 或 withdraw 将锁定本金洗成全额可转。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混合下注结算(MVP):必须覆盖锁定+可转混合投入时的本金还原比例、businessOutDelta 增量登记、totalBusinessOut - businessIn 的净盈利/亏损判定、亏损扣减顺序、解锁进度继承和净盈利可转;DEX 买入的可转 ODD 下注后赢利或退款不得被重新登记为锁定余额。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奖励解锁统一锚定 poolLaunchTime,多笔领取共享同一曲线;需覆盖「建池前已领取大量奖励、建池后瞬间按曲线获得首日额度」的正确性。</w:t>
      </w:r>
    </w:p>
    <w:p>
      <w:pPr/>
      <w:r>
        <w:t>全量重部署验证:新部署的 BettingPool / LiquidityPool / StakingPool 等业务合约必须全部指向新 ODDToken proxy,不得残留旧 ODD 地址。</w:t>
      </w:r>
    </w:p>
    <w:p>
      <w:r>
        <w:t xml:space="preserve">初始化与白名单验证:ODDToken 最小 initialize 后不得开放业务;待 BettingPool / LiquidityPool / StakingPool 等业务 proxy 部署完成后,必须通过受限方法写入 whitelist,platformTreasury / OpsTreasuryVault / TimelockController 必须写入 treasury sink;部署后必须断言 whitelist 地址均已有代码,treasury sink 与业务合约 platformTreasury 配置一致;未登记和校验前不得开放 sale、bet、stake 或 LP 存入。</w:t>
      </w:r>
    </w:p>
    <w:p>
      <w:pPr/>
      <w:r>
        <w:t>部署顺序验证:所有 proxy 初始化在同一确定性地址流程中完成,不得留下可被第三方抢先 initialize 的窗口;脚本需断言旧 ODD 地址未被任何新业务合约引用。</w:t>
      </w:r>
    </w:p>
    <w:p>
      <w:r>
        <w:t xml:space="preserve">markDexPoolLaunched 验证:Token 层覆盖非 DEX_LAUNCHER 调用失败、二次调用失败、launchTime 为 0 失败、未来时间失败;DexLaunchController 层覆盖未售罄且未 forceFinalize 不得建池、实际建池资产不满足产品确认经济下限不得建池,以及成功写入后销售/奖励解锁曲线、业务锁定本金还原和净盈利可转登记同步生效。</w:t>
      </w:r>
    </w:p>
    <w:p>
      <w:r>
        <w:t>Treasury sink 验证:BettingPool / StakingPool 向 platformTreasury 或 OpsTreasuryVault 转平台税金、平台份额、奖励回收时,不得登记为用户业务回款锁定余额;treasury sink 向非白名单外部地址划转在 Token 层可正常执行,但只能通过 OpsTreasuryVault / TimelockController 的时间锁治理路径触发。BettingPool.setPlatformTreasury / StakingPool.setPlatformTreasury 变更时,新地址必须已登记 treasury sink。</w:t>
      </w:r>
    </w:p>
    <w:p>
      <w:r>
        <w:t xml:space="preserve">来源分类验证:TierSale 发放登记 saleLockedRemaining,EcosystemRewards 用户 claim 登记 rewardLockedRemaining;用户普通 transfer / transferFrom 直接转入白名单业务合约必须失败;用户通过 BettingPool / LiquidityPool / StakingPool 等业务入口投入时生成全局唯一 businessId 和来源快照;业务回款按 businessOutDelta 累计 totalBusinessOut,以 totalBusinessOut - businessIn 判断净盈利/亏损,按快照还原本金、扣减亏损并登记净盈利可转;DEX 可转用户的下注赢利不得登记为锁定余额;锁定用户亏损必须扣减对应锁定来源;BettingPool 推荐奖励 claim 登记为可转净收益;HouseVault 向普通用户或 DEX 出账必须失败;DexLaunchController 建池后剩余资产必须进入 treasury sink。</w:t>
      </w:r>
    </w:p>
    <w:p>
      <w:r>
        <w:br w:type="page"/>
      </w:r>
    </w:p>
    <w:p>
      <w:pPr>
        <w:pStyle w:val="Heading1"/>
      </w:pPr>
      <w:r>
        <w:t>10. 已定参数与可配置项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当前倾向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单地址购买上限(防巨鲸扫档)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MVP 默认 cap=0 不启用;Timelock 可配置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跨档订单处理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按实际跨档拆分计价;超过全池剩余量 revert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PancakeSwap V3 LP NFT 锁定方式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LP NFT / position token 锁仓合约锁定 12 个月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锁定来源消耗顺序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业务回款锁定 -&gt; 销售锁定 -&gt; 奖励锁定 -&gt; 可转余额;burn 与业务入金同序;业务亏损按已消耗来源扣减,净盈利可转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代币名称/符号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已定稿:Name = OddFi,Symbol = ODD</w:t>
            </w:r>
          </w:p>
        </w:tc>
      </w:tr>
      <w:tr>
        <w:tc>
          <w:tcPr>
            <w:tcW w:type="dxa" w:w="600"/>
          </w:tcPr>
          <w:p>
            <w:r>
              <w:t>6</w:t>
            </w:r>
          </w:p>
        </w:tc>
        <w:tc>
          <w:tcPr>
            <w:tcW w:type="dxa" w:w="5000"/>
          </w:tcPr>
          <w:p>
            <w:r>
              <w:t>初始化分配接收地址</w:t>
            </w:r>
          </w:p>
        </w:tc>
        <w:tc>
          <w:tcPr>
            <w:tcW w:type="dxa" w:w="3760"/>
          </w:tcPr>
          <w:p>
            <w:r>
              <w:t xml:space="preserve">initialize 只保留 adminTimelock、pauser、固定供应与基础角色;初始供应先铸造至 ODDToken 自身,五类接收地址、业务白名单与 treasurySinks 部署后通过受限方法配置并一次性分配</w:t>
            </w:r>
          </w:p>
        </w:tc>
      </w:tr>
      <w:tr>
        <w:tc>
          <w:tcPr>
            <w:tcW w:type="dxa" w:w="600"/>
          </w:tcPr>
          <w:p>
            <w:r>
              <w:t>7</w:t>
            </w:r>
          </w:p>
        </w:tc>
        <w:tc>
          <w:tcPr>
            <w:tcW w:type="dxa" w:w="5000"/>
          </w:tcPr>
          <w:p>
            <w:r>
              <w:t>全量重部署范围</w:t>
            </w:r>
          </w:p>
        </w:tc>
        <w:tc>
          <w:tcPr>
            <w:tcW w:type="dxa" w:w="3760"/>
          </w:tcPr>
          <w:p>
            <w:r>
              <w:t>ODDToken 与所有依赖新 ODD 地址的业务合约/proxy 均重新部署</w:t>
            </w:r>
          </w:p>
        </w:tc>
      </w:tr>
      <w:tr>
        <w:tc>
          <w:tcPr>
            <w:tcW w:type="dxa" w:w="600"/>
          </w:tcPr>
          <w:p>
            <w:r>
              <w:t>8</w:t>
            </w:r>
          </w:p>
        </w:tc>
        <w:tc>
          <w:tcPr>
            <w:tcW w:type="dxa" w:w="5000"/>
          </w:tcPr>
          <w:p>
            <w:r>
              <w:t>部署方式</w:t>
            </w:r>
          </w:p>
        </w:tc>
        <w:tc>
          <w:tcPr>
            <w:tcW w:type="dxa" w:w="3760"/>
          </w:tcPr>
          <w:p>
            <w:r>
              <w:t xml:space="preserve">proxy 构造器 initData 完成最小 initialize;地址与分配部署后配置;CREATE2 可选用于预计算/复核,不得暴露未初始化 proxy</w:t>
            </w:r>
          </w:p>
        </w:tc>
      </w:tr>
      <w:tr>
        <w:tc>
          <w:tcPr>
            <w:tcW w:type="dxa" w:w="600"/>
          </w:tcPr>
          <w:p>
            <w:r>
              <w:t>9</w:t>
            </w:r>
          </w:p>
        </w:tc>
        <w:tc>
          <w:tcPr>
            <w:tcW w:type="dxa" w:w="5000"/>
          </w:tcPr>
          <w:p>
            <w:r>
              <w:t>OpsTreasury 接收方式</w:t>
            </w:r>
          </w:p>
        </w:tc>
        <w:tc>
          <w:tcPr>
            <w:tcW w:type="dxa" w:w="3760"/>
          </w:tcPr>
          <w:p>
            <w:r>
              <w:t>OpsTreasuryVault / TimelockController 持有;Safe 仅作 proposer/canceller</w:t>
            </w:r>
          </w:p>
        </w:tc>
      </w:tr>
    </w:tbl>
    <w:p>
      <w:pPr>
        <w:pStyle w:val="Heading2"/>
      </w:pPr>
      <w:r>
        <w:t>11. 文档同步要求</w:t>
      </w:r>
    </w:p>
    <w:p>
      <w:pPr>
        <w:pStyle w:val="ListParagraph"/>
      </w:pPr>
      <w:r>
        <w:t xml:space="preserve">本需求将 ODDToken 从纯 ERC20 底座扩展为包含白名单、treasury sink、来源分类、锁定/可转额度、poolLaunchTime、burn 与业务来源快照的代币侧规则合约。开发前必须同步更新 docs/architecture 与 docs/development 中关于 ODDToken 仅作为纯代币底座的旧描述,并同步修改 Roles.sol、部署脚本、测试 helper、API 文档中的 ODDToken.initialize 签名、部署后地址配置流程、platformTreasury/treasurySink 配置检查、业务来源快照接口和全量重部署地址检查。</w:t>
      </w:r>
    </w:p>
    <w:p>
      <w:pPr>
        <w:spacing w:before="400"/>
        <w:jc w:val="center"/>
      </w:pPr>
      <w:r>
        <w:rPr>
          <w:color w:val="999999"/>
          <w:sz w:val="18"/>
          <w:szCs w:val="18"/>
        </w:rPr>
        <w:t xml:space="preserve">— 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5E8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2026-06-11T09:10:13.365Z</dcterms:created>
  <dcterms:modified xsi:type="dcterms:W3CDTF">2026-06-11T09:10:13.365Z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