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8AA8" w14:textId="7B5B3A70" w:rsidR="006B6ECA" w:rsidRDefault="00CB7C9D" w:rsidP="00C5209A">
      <w:pPr>
        <w:ind w:firstLineChars="200" w:firstLine="420"/>
      </w:pPr>
      <w:r>
        <w:rPr>
          <w:rFonts w:hint="eastAsia"/>
        </w:rPr>
        <w:t>从应试教学到素质养成</w:t>
      </w:r>
      <w:r>
        <w:t xml:space="preserve"> </w:t>
      </w:r>
      <w:r w:rsidR="00353B9D">
        <w:rPr>
          <w:rFonts w:hint="eastAsia"/>
        </w:rPr>
        <w:t>从知识展示到课程教学</w:t>
      </w:r>
    </w:p>
    <w:p w14:paraId="3D71AC1A" w14:textId="0445679F" w:rsidR="00353B9D" w:rsidRDefault="00353B9D" w:rsidP="0017202F">
      <w:pPr>
        <w:ind w:firstLineChars="200" w:firstLine="42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年新高考全国一卷第</w:t>
      </w:r>
      <w:r w:rsidR="00252F97">
        <w:t>22</w:t>
      </w:r>
      <w:r>
        <w:rPr>
          <w:rFonts w:hint="eastAsia"/>
        </w:rPr>
        <w:t>题</w:t>
      </w:r>
      <w:r w:rsidR="00252F97">
        <w:rPr>
          <w:rFonts w:hint="eastAsia"/>
        </w:rPr>
        <w:t>的</w:t>
      </w:r>
      <w:r>
        <w:rPr>
          <w:rFonts w:hint="eastAsia"/>
        </w:rPr>
        <w:t>分析与</w:t>
      </w:r>
      <w:r w:rsidR="00252F97">
        <w:rPr>
          <w:rFonts w:hint="eastAsia"/>
        </w:rPr>
        <w:t>教学</w:t>
      </w:r>
      <w:r>
        <w:rPr>
          <w:rFonts w:hint="eastAsia"/>
        </w:rPr>
        <w:t>启发</w:t>
      </w:r>
    </w:p>
    <w:p w14:paraId="69F5033A" w14:textId="7789AE6B" w:rsidR="00BC4839" w:rsidRDefault="00BC4839" w:rsidP="0017202F">
      <w:pPr>
        <w:ind w:firstLineChars="200" w:firstLine="420"/>
      </w:pPr>
    </w:p>
    <w:p w14:paraId="55C45EA1" w14:textId="701A91FC" w:rsidR="00DE16BD" w:rsidRDefault="00BC4839" w:rsidP="00DE16BD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问题提出：</w:t>
      </w:r>
      <w:r w:rsidR="006A75A6">
        <w:rPr>
          <w:rFonts w:hint="eastAsia"/>
        </w:rPr>
        <w:t>学科</w:t>
      </w:r>
      <w:r w:rsidR="00DE16BD">
        <w:rPr>
          <w:rFonts w:hint="eastAsia"/>
        </w:rPr>
        <w:t>核心素养已经成为当前高考的流行词，</w:t>
      </w:r>
      <w:r w:rsidR="006A75A6">
        <w:rPr>
          <w:rFonts w:hint="eastAsia"/>
        </w:rPr>
        <w:t>数学</w:t>
      </w:r>
      <w:r w:rsidR="00DE16BD" w:rsidRPr="003533CE">
        <w:rPr>
          <w:rFonts w:asciiTheme="minorEastAsia" w:hAnsiTheme="minorEastAsia" w:hint="eastAsia"/>
        </w:rPr>
        <w:t>核心素养作为数学素质教育的标志，围绕</w:t>
      </w:r>
      <w:r w:rsidR="006A75A6">
        <w:rPr>
          <w:rFonts w:asciiTheme="minorEastAsia" w:hAnsiTheme="minorEastAsia" w:hint="eastAsia"/>
        </w:rPr>
        <w:t>数学</w:t>
      </w:r>
      <w:r w:rsidR="00DE16BD" w:rsidRPr="003533CE">
        <w:rPr>
          <w:rFonts w:asciiTheme="minorEastAsia" w:hAnsiTheme="minorEastAsia" w:hint="eastAsia"/>
        </w:rPr>
        <w:t>核心素养进行教学是当前的</w:t>
      </w:r>
      <w:r w:rsidR="006A75A6">
        <w:rPr>
          <w:rFonts w:asciiTheme="minorEastAsia" w:hAnsiTheme="minorEastAsia" w:hint="eastAsia"/>
        </w:rPr>
        <w:t>热点。但是什么是数学核心素养？</w:t>
      </w:r>
    </w:p>
    <w:p w14:paraId="0AC88CE9" w14:textId="7EC397A0" w:rsidR="00EF4811" w:rsidRDefault="00A02E2A" w:rsidP="00DE16BD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A02E2A">
        <w:rPr>
          <w:rFonts w:asciiTheme="minorEastAsia" w:hAnsiTheme="minorEastAsia" w:hint="eastAsia"/>
        </w:rPr>
        <w:t>经济合作与发展组织</w:t>
      </w:r>
      <w:r w:rsidRPr="00A02E2A">
        <w:rPr>
          <w:rFonts w:asciiTheme="minorEastAsia" w:hAnsiTheme="minorEastAsia"/>
        </w:rPr>
        <w:t>(OEC</w:t>
      </w:r>
      <w:r>
        <w:rPr>
          <w:rFonts w:asciiTheme="minorEastAsia" w:hAnsiTheme="minorEastAsia"/>
        </w:rPr>
        <w:t>D</w:t>
      </w:r>
      <w:r w:rsidRPr="00A02E2A">
        <w:rPr>
          <w:rFonts w:asciiTheme="minorEastAsia" w:hAnsiTheme="minorEastAsia"/>
        </w:rPr>
        <w:t>)的研究报告中</w:t>
      </w:r>
      <w:r w:rsidR="005A1B37">
        <w:rPr>
          <w:rFonts w:asciiTheme="minorEastAsia" w:hAnsiTheme="minorEastAsia" w:hint="eastAsia"/>
        </w:rPr>
        <w:t>最早提出了核心素养概念</w:t>
      </w:r>
      <w:r w:rsidRPr="00A02E2A">
        <w:rPr>
          <w:rFonts w:asciiTheme="minorEastAsia" w:hAnsiTheme="minorEastAsia"/>
        </w:rPr>
        <w:t>。</w:t>
      </w:r>
      <w:r w:rsidRPr="00A02E2A">
        <w:rPr>
          <w:rFonts w:asciiTheme="minorEastAsia" w:hAnsiTheme="minorEastAsia" w:hint="eastAsia"/>
        </w:rPr>
        <w:t>经济合作与发展组织</w:t>
      </w:r>
      <w:r>
        <w:rPr>
          <w:rFonts w:asciiTheme="minorEastAsia" w:hAnsiTheme="minorEastAsia" w:hint="eastAsia"/>
        </w:rPr>
        <w:t>于</w:t>
      </w:r>
      <w:r w:rsidRPr="00A02E2A">
        <w:rPr>
          <w:rFonts w:asciiTheme="minorEastAsia" w:hAnsiTheme="minorEastAsia"/>
        </w:rPr>
        <w:t>1997年</w:t>
      </w:r>
      <w:r>
        <w:rPr>
          <w:rFonts w:asciiTheme="minorEastAsia" w:hAnsiTheme="minorEastAsia" w:hint="eastAsia"/>
        </w:rPr>
        <w:t>开展</w:t>
      </w:r>
      <w:r w:rsidRPr="00A02E2A">
        <w:rPr>
          <w:rFonts w:asciiTheme="minorEastAsia" w:hAnsiTheme="minorEastAsia"/>
        </w:rPr>
        <w:t>了“素养的界定与遴选：理论和概念基础”(Definition and Selection of Competencies：Theoretical and Conceptual Foundations</w:t>
      </w:r>
      <w:r>
        <w:rPr>
          <w:rFonts w:asciiTheme="minorEastAsia" w:hAnsiTheme="minorEastAsia" w:hint="eastAsia"/>
        </w:rPr>
        <w:t>，</w:t>
      </w:r>
      <w:r w:rsidRPr="00A02E2A">
        <w:rPr>
          <w:rFonts w:asciiTheme="minorEastAsia" w:hAnsiTheme="minorEastAsia"/>
        </w:rPr>
        <w:t>DSC)研究项目，</w:t>
      </w:r>
      <w:r w:rsidR="00011FFF">
        <w:rPr>
          <w:rFonts w:asciiTheme="minorEastAsia" w:hAnsiTheme="minorEastAsia" w:hint="eastAsia"/>
        </w:rPr>
        <w:t>此时</w:t>
      </w:r>
      <w:r w:rsidRPr="00A02E2A">
        <w:rPr>
          <w:rFonts w:asciiTheme="minorEastAsia" w:hAnsiTheme="minorEastAsia"/>
        </w:rPr>
        <w:t>项目名称中</w:t>
      </w:r>
      <w:r>
        <w:rPr>
          <w:rFonts w:asciiTheme="minorEastAsia" w:hAnsiTheme="minorEastAsia" w:hint="eastAsia"/>
        </w:rPr>
        <w:t>没有</w:t>
      </w:r>
      <w:r w:rsidRPr="00A02E2A">
        <w:rPr>
          <w:rFonts w:asciiTheme="minorEastAsia" w:hAnsiTheme="minorEastAsia"/>
        </w:rPr>
        <w:t>“核心素养”一词，最终研究报告《核心素养促进成功的生活和健全的社会》(Key Competencies for a Successful Life and a Well-Functioning Society)</w:t>
      </w:r>
      <w:r w:rsidR="00EF4811">
        <w:rPr>
          <w:rFonts w:asciiTheme="minorEastAsia" w:hAnsiTheme="minorEastAsia" w:hint="eastAsia"/>
        </w:rPr>
        <w:t>于2</w:t>
      </w:r>
      <w:r w:rsidR="00EF4811">
        <w:rPr>
          <w:rFonts w:asciiTheme="minorEastAsia" w:hAnsiTheme="minorEastAsia"/>
        </w:rPr>
        <w:t>003</w:t>
      </w:r>
      <w:r w:rsidR="00EF4811">
        <w:rPr>
          <w:rFonts w:asciiTheme="minorEastAsia" w:hAnsiTheme="minorEastAsia" w:hint="eastAsia"/>
        </w:rPr>
        <w:t>年</w:t>
      </w:r>
      <w:r>
        <w:rPr>
          <w:rFonts w:asciiTheme="minorEastAsia" w:hAnsiTheme="minorEastAsia" w:hint="eastAsia"/>
        </w:rPr>
        <w:t>发表</w:t>
      </w:r>
      <w:r w:rsidRPr="00A02E2A">
        <w:rPr>
          <w:rFonts w:asciiTheme="minorEastAsia" w:hAnsiTheme="minorEastAsia"/>
        </w:rPr>
        <w:t>，使用了</w:t>
      </w:r>
      <w:r>
        <w:rPr>
          <w:rFonts w:asciiTheme="minorEastAsia" w:hAnsiTheme="minorEastAsia" w:hint="eastAsia"/>
        </w:rPr>
        <w:t>核心素养</w:t>
      </w:r>
      <w:r w:rsidR="00011FFF">
        <w:rPr>
          <w:rFonts w:asciiTheme="minorEastAsia" w:hAnsiTheme="minorEastAsia" w:hint="eastAsia"/>
        </w:rPr>
        <w:t>作为关键词</w:t>
      </w:r>
      <w:r w:rsidRPr="00A02E2A">
        <w:rPr>
          <w:rFonts w:asciiTheme="minorEastAsia" w:hAnsiTheme="minorEastAsia"/>
        </w:rPr>
        <w:t>。</w:t>
      </w:r>
      <w:r w:rsidR="00EF4811">
        <w:rPr>
          <w:rFonts w:asciiTheme="minorEastAsia" w:hAnsiTheme="minorEastAsia" w:hint="eastAsia"/>
        </w:rPr>
        <w:t>为加速</w:t>
      </w:r>
      <w:r w:rsidRPr="00A02E2A">
        <w:rPr>
          <w:rFonts w:asciiTheme="minorEastAsia" w:hAnsiTheme="minorEastAsia"/>
        </w:rPr>
        <w:t>核心素养</w:t>
      </w:r>
      <w:r w:rsidR="00011FFF">
        <w:rPr>
          <w:rFonts w:asciiTheme="minorEastAsia" w:hAnsiTheme="minorEastAsia" w:hint="eastAsia"/>
        </w:rPr>
        <w:t>在教育中的</w:t>
      </w:r>
      <w:r w:rsidRPr="00A02E2A">
        <w:rPr>
          <w:rFonts w:asciiTheme="minorEastAsia" w:hAnsiTheme="minorEastAsia"/>
        </w:rPr>
        <w:t>实践，</w:t>
      </w:r>
      <w:r w:rsidR="00011FFF" w:rsidRPr="00A02E2A">
        <w:rPr>
          <w:rFonts w:asciiTheme="minorEastAsia" w:hAnsiTheme="minorEastAsia" w:hint="eastAsia"/>
        </w:rPr>
        <w:t>经济合作与发展</w:t>
      </w:r>
      <w:r w:rsidRPr="00A02E2A">
        <w:rPr>
          <w:rFonts w:asciiTheme="minorEastAsia" w:hAnsiTheme="minorEastAsia"/>
        </w:rPr>
        <w:t>组织</w:t>
      </w:r>
      <w:r w:rsidR="00EF4811">
        <w:rPr>
          <w:rFonts w:asciiTheme="minorEastAsia" w:hAnsiTheme="minorEastAsia" w:hint="eastAsia"/>
        </w:rPr>
        <w:t>于2</w:t>
      </w:r>
      <w:r w:rsidR="00EF4811">
        <w:rPr>
          <w:rFonts w:asciiTheme="minorEastAsia" w:hAnsiTheme="minorEastAsia"/>
        </w:rPr>
        <w:t>005</w:t>
      </w:r>
      <w:r w:rsidR="00EF4811">
        <w:rPr>
          <w:rFonts w:asciiTheme="minorEastAsia" w:hAnsiTheme="minorEastAsia" w:hint="eastAsia"/>
        </w:rPr>
        <w:t>年</w:t>
      </w:r>
      <w:r w:rsidRPr="00A02E2A">
        <w:rPr>
          <w:rFonts w:asciiTheme="minorEastAsia" w:hAnsiTheme="minorEastAsia"/>
        </w:rPr>
        <w:t>发</w:t>
      </w:r>
      <w:r w:rsidR="00EF4811">
        <w:rPr>
          <w:rFonts w:asciiTheme="minorEastAsia" w:hAnsiTheme="minorEastAsia" w:hint="eastAsia"/>
        </w:rPr>
        <w:t>表</w:t>
      </w:r>
      <w:r w:rsidRPr="00A02E2A">
        <w:rPr>
          <w:rFonts w:asciiTheme="minorEastAsia" w:hAnsiTheme="minorEastAsia"/>
        </w:rPr>
        <w:t>《核心素养的界定与遴选：行动纲要》(The Definition and Selection of Key Competencies：Executive Summary)，</w:t>
      </w:r>
      <w:r w:rsidR="00EF4811">
        <w:rPr>
          <w:rFonts w:asciiTheme="minorEastAsia" w:hAnsiTheme="minorEastAsia" w:hint="eastAsia"/>
        </w:rPr>
        <w:t>加强了</w:t>
      </w:r>
      <w:r w:rsidRPr="00A02E2A">
        <w:rPr>
          <w:rFonts w:asciiTheme="minorEastAsia" w:hAnsiTheme="minorEastAsia"/>
        </w:rPr>
        <w:t>核心素养</w:t>
      </w:r>
      <w:r w:rsidR="00EF4811">
        <w:rPr>
          <w:rFonts w:asciiTheme="minorEastAsia" w:hAnsiTheme="minorEastAsia" w:hint="eastAsia"/>
        </w:rPr>
        <w:t>在</w:t>
      </w:r>
      <w:r w:rsidRPr="00A02E2A">
        <w:rPr>
          <w:rFonts w:asciiTheme="minorEastAsia" w:hAnsiTheme="minorEastAsia"/>
        </w:rPr>
        <w:t>教育实践</w:t>
      </w:r>
      <w:r w:rsidR="00EF4811">
        <w:rPr>
          <w:rFonts w:asciiTheme="minorEastAsia" w:hAnsiTheme="minorEastAsia" w:hint="eastAsia"/>
        </w:rPr>
        <w:t>中</w:t>
      </w:r>
      <w:r w:rsidRPr="00A02E2A">
        <w:rPr>
          <w:rFonts w:asciiTheme="minorEastAsia" w:hAnsiTheme="minorEastAsia"/>
        </w:rPr>
        <w:t>的操作性。</w:t>
      </w:r>
      <w:r w:rsidR="006A75A6">
        <w:rPr>
          <w:rFonts w:asciiTheme="minorEastAsia" w:hAnsiTheme="minorEastAsia"/>
        </w:rPr>
        <w:t>2014</w:t>
      </w:r>
      <w:r w:rsidR="006A75A6">
        <w:rPr>
          <w:rFonts w:asciiTheme="minorEastAsia" w:hAnsiTheme="minorEastAsia" w:hint="eastAsia"/>
        </w:rPr>
        <w:t>年</w:t>
      </w:r>
      <w:r w:rsidR="00EF4811">
        <w:rPr>
          <w:rFonts w:asciiTheme="minorEastAsia" w:hAnsiTheme="minorEastAsia" w:hint="eastAsia"/>
        </w:rPr>
        <w:t>中国</w:t>
      </w:r>
      <w:r w:rsidR="006A75A6">
        <w:rPr>
          <w:rFonts w:asciiTheme="minorEastAsia" w:hAnsiTheme="minorEastAsia" w:hint="eastAsia"/>
        </w:rPr>
        <w:t>教育部印发了《关于全面深化课程改革落实立德树人根本任务的意见》中首次提出核心素养体系的概念。同年</w:t>
      </w:r>
      <w:r w:rsidR="001462D9">
        <w:rPr>
          <w:rFonts w:asciiTheme="minorEastAsia" w:hAnsiTheme="minorEastAsia" w:hint="eastAsia"/>
        </w:rPr>
        <w:t>9月1</w:t>
      </w:r>
      <w:r w:rsidR="001462D9">
        <w:rPr>
          <w:rFonts w:asciiTheme="minorEastAsia" w:hAnsiTheme="minorEastAsia"/>
        </w:rPr>
        <w:t>2</w:t>
      </w:r>
      <w:r w:rsidR="001462D9">
        <w:rPr>
          <w:rFonts w:asciiTheme="minorEastAsia" w:hAnsiTheme="minorEastAsia" w:hint="eastAsia"/>
        </w:rPr>
        <w:t>日教育部委托北京师范大学，并邀请全国专家编写的《中国学生发展核心素养》发表，核心素养正式成为新课程标准</w:t>
      </w:r>
      <w:r w:rsidR="00011FFF">
        <w:rPr>
          <w:rFonts w:asciiTheme="minorEastAsia" w:hAnsiTheme="minorEastAsia" w:hint="eastAsia"/>
        </w:rPr>
        <w:t>与新高考</w:t>
      </w:r>
      <w:r w:rsidR="001462D9">
        <w:rPr>
          <w:rFonts w:asciiTheme="minorEastAsia" w:hAnsiTheme="minorEastAsia" w:hint="eastAsia"/>
        </w:rPr>
        <w:t>的主题。</w:t>
      </w:r>
      <w:r w:rsidR="006A75A6">
        <w:rPr>
          <w:rFonts w:asciiTheme="minorEastAsia" w:hAnsiTheme="minorEastAsia" w:hint="eastAsia"/>
        </w:rPr>
        <w:t>2</w:t>
      </w:r>
      <w:r w:rsidR="006A75A6">
        <w:rPr>
          <w:rFonts w:asciiTheme="minorEastAsia" w:hAnsiTheme="minorEastAsia"/>
        </w:rPr>
        <w:t>015</w:t>
      </w:r>
      <w:r w:rsidR="006A75A6">
        <w:rPr>
          <w:rFonts w:asciiTheme="minorEastAsia" w:hAnsiTheme="minorEastAsia" w:hint="eastAsia"/>
        </w:rPr>
        <w:t>年马云鹏</w:t>
      </w:r>
      <w:r w:rsidR="001462D9">
        <w:rPr>
          <w:rFonts w:asciiTheme="minorEastAsia" w:hAnsiTheme="minorEastAsia" w:hint="eastAsia"/>
        </w:rPr>
        <w:t>教授《关于数学核心素养的几个问题》正式揭开了数学核心素养的研究。</w:t>
      </w:r>
    </w:p>
    <w:p w14:paraId="38319EF6" w14:textId="77C1B54A" w:rsidR="00BC4839" w:rsidRPr="00610919" w:rsidRDefault="00A02E2A" w:rsidP="00610919">
      <w:pPr>
        <w:spacing w:beforeLines="50" w:before="156" w:afterLines="50" w:after="156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马云鹏教授在文中指出数学核心素养</w:t>
      </w:r>
      <w:r w:rsidR="00011FFF">
        <w:rPr>
          <w:rFonts w:asciiTheme="minorEastAsia" w:hAnsiTheme="minorEastAsia" w:hint="eastAsia"/>
        </w:rPr>
        <w:t>是学生通过学习数学后能获得的能力，并指出三个</w:t>
      </w:r>
      <w:r w:rsidR="007B26DC">
        <w:rPr>
          <w:rFonts w:asciiTheme="minorEastAsia" w:hAnsiTheme="minorEastAsia" w:hint="eastAsia"/>
        </w:rPr>
        <w:t>特征：综合性，阶段性，持久性。史宁中教授在2</w:t>
      </w:r>
      <w:r w:rsidR="007B26DC">
        <w:rPr>
          <w:rFonts w:asciiTheme="minorEastAsia" w:hAnsiTheme="minorEastAsia"/>
        </w:rPr>
        <w:t>017</w:t>
      </w:r>
      <w:r w:rsidR="007B26DC">
        <w:rPr>
          <w:rFonts w:asciiTheme="minorEastAsia" w:hAnsiTheme="minorEastAsia" w:hint="eastAsia"/>
        </w:rPr>
        <w:t>年指出数学核心素养的本质是</w:t>
      </w:r>
      <w:r w:rsidR="00610919">
        <w:rPr>
          <w:rFonts w:asciiTheme="minorEastAsia" w:hAnsiTheme="minorEastAsia" w:hint="eastAsia"/>
        </w:rPr>
        <w:t>三会，有能力用数学的方式，去看，去想，去表达。并且指出核心素养的目的是服务立德树人的总任务。同时</w:t>
      </w:r>
      <w:r w:rsidR="005A1B37">
        <w:rPr>
          <w:rFonts w:asciiTheme="minorEastAsia" w:hAnsiTheme="minorEastAsia" w:hint="eastAsia"/>
        </w:rPr>
        <w:t>指出</w:t>
      </w:r>
      <w:r w:rsidR="00610919">
        <w:rPr>
          <w:rFonts w:asciiTheme="minorEastAsia" w:hAnsiTheme="minorEastAsia" w:hint="eastAsia"/>
        </w:rPr>
        <w:t>数学核心素养达成培养与</w:t>
      </w:r>
      <w:r w:rsidR="005A1B37">
        <w:rPr>
          <w:rFonts w:asciiTheme="minorEastAsia" w:hAnsiTheme="minorEastAsia" w:hint="eastAsia"/>
        </w:rPr>
        <w:t>具备关键能力的关联。</w:t>
      </w:r>
    </w:p>
    <w:p w14:paraId="38EBB928" w14:textId="462B0ABF" w:rsidR="005A1B37" w:rsidRDefault="005A1B37" w:rsidP="005A1B37">
      <w:pPr>
        <w:ind w:firstLineChars="200" w:firstLine="420"/>
        <w:rPr>
          <w:rFonts w:hint="eastAsia"/>
        </w:rPr>
      </w:pPr>
      <w:r>
        <w:rPr>
          <w:rFonts w:hint="eastAsia"/>
        </w:rPr>
        <w:t>如何评价一个学生是否具备了核心素养？</w:t>
      </w:r>
    </w:p>
    <w:p w14:paraId="69E2FB47" w14:textId="02D9A290" w:rsidR="00353B9D" w:rsidRDefault="0017202F" w:rsidP="0017202F">
      <w:r>
        <w:rPr>
          <w:rFonts w:hint="eastAsia"/>
        </w:rPr>
        <w:t>一、</w:t>
      </w:r>
      <w:r w:rsidR="00353B9D">
        <w:rPr>
          <w:rFonts w:hint="eastAsia"/>
        </w:rPr>
        <w:t>试题呈现</w:t>
      </w:r>
    </w:p>
    <w:p w14:paraId="72BBE6B5" w14:textId="77777777" w:rsidR="00E835C9" w:rsidRDefault="00E835C9" w:rsidP="00C5209A">
      <w:pPr>
        <w:pStyle w:val="a7"/>
      </w:pPr>
      <w:r>
        <w:rPr>
          <w:rFonts w:hint="eastAsia"/>
        </w:rPr>
        <w:t>2</w:t>
      </w:r>
      <w:r>
        <w:t>2.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分）</w:t>
      </w:r>
    </w:p>
    <w:p w14:paraId="60DACA99" w14:textId="761730E6" w:rsidR="00BF2BA3" w:rsidRDefault="00252F97" w:rsidP="00C5209A">
      <w:pPr>
        <w:pStyle w:val="a7"/>
      </w:pPr>
      <w:r>
        <w:rPr>
          <w:rFonts w:hint="eastAsia"/>
        </w:rPr>
        <w:t>已知函数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-ax </m:t>
        </m:r>
      </m:oMath>
      <w:r w:rsidR="00E835C9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 w:hint="eastAsia"/>
              </w:rPr>
              <m:t>x</m:t>
            </m:r>
          </m:e>
        </m:func>
      </m:oMath>
      <w:r w:rsidR="00E835C9">
        <w:rPr>
          <w:rFonts w:hint="eastAsia"/>
        </w:rPr>
        <w:t>有相同的最小值.</w:t>
      </w:r>
    </w:p>
    <w:p w14:paraId="70EBF73F" w14:textId="3F80AFC8" w:rsidR="00E835C9" w:rsidRDefault="00E835C9" w:rsidP="0017202F">
      <w:pPr>
        <w:pStyle w:val="a7"/>
        <w:numPr>
          <w:ilvl w:val="0"/>
          <w:numId w:val="2"/>
        </w:numPr>
        <w:ind w:left="426" w:firstLineChars="0" w:firstLine="0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;</w:t>
      </w:r>
    </w:p>
    <w:p w14:paraId="353BE01A" w14:textId="4B24C9B2" w:rsidR="00E835C9" w:rsidRPr="00E835C9" w:rsidRDefault="00E835C9" w:rsidP="0017202F">
      <w:pPr>
        <w:pStyle w:val="a7"/>
        <w:numPr>
          <w:ilvl w:val="0"/>
          <w:numId w:val="2"/>
        </w:numPr>
        <w:ind w:left="0" w:firstLineChars="202" w:firstLine="424"/>
        <w:rPr>
          <w:i/>
        </w:rPr>
      </w:pPr>
      <w:r>
        <w:rPr>
          <w:rFonts w:hint="eastAsia"/>
        </w:rPr>
        <w:t>证明：存在直线</w:t>
      </w:r>
      <m:oMath>
        <m:r>
          <w:rPr>
            <w:rFonts w:ascii="Cambria Math" w:hAnsi="Cambria Math"/>
          </w:rPr>
          <m:t>y=b</m:t>
        </m:r>
      </m:oMath>
      <w:r>
        <w:rPr>
          <w:rFonts w:hint="eastAsia"/>
        </w:rPr>
        <w:t>，其与两条曲线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y=g(x)</m:t>
        </m:r>
      </m:oMath>
      <w:r>
        <w:rPr>
          <w:rFonts w:hint="eastAsia"/>
        </w:rPr>
        <w:t>共由三个不同的交点，并且从左到右的三个交点的横坐标成等差数列.</w:t>
      </w:r>
    </w:p>
    <w:p w14:paraId="20979112" w14:textId="4EDEFEBE" w:rsidR="00C5209A" w:rsidRDefault="00865702" w:rsidP="00C5209A">
      <w:pPr>
        <w:ind w:firstLineChars="200" w:firstLine="420"/>
        <w:rPr>
          <w:iCs/>
        </w:rPr>
      </w:pPr>
      <w:r>
        <w:rPr>
          <w:rFonts w:hint="eastAsia"/>
          <w:iCs/>
        </w:rPr>
        <w:t>本题要求学生掌握基本的函数与导数的概念以及函数求值的方法，考查了学生运算，求解，逻辑推理的能力。</w:t>
      </w:r>
      <w:r w:rsidR="00494ED2">
        <w:rPr>
          <w:iCs/>
        </w:rPr>
        <w:t>22</w:t>
      </w:r>
      <w:r w:rsidR="00494ED2">
        <w:rPr>
          <w:rFonts w:hint="eastAsia"/>
          <w:iCs/>
        </w:rPr>
        <w:t>题是</w:t>
      </w:r>
      <w:r w:rsidR="00494ED2">
        <w:rPr>
          <w:iCs/>
        </w:rPr>
        <w:t>2022</w:t>
      </w:r>
      <w:r w:rsidR="00494ED2">
        <w:rPr>
          <w:rFonts w:hint="eastAsia"/>
          <w:iCs/>
        </w:rPr>
        <w:t>年新高考全国一卷的选拔性题目，内容新颖，此题命</w:t>
      </w:r>
      <w:proofErr w:type="gramStart"/>
      <w:r w:rsidR="00494ED2">
        <w:rPr>
          <w:rFonts w:hint="eastAsia"/>
          <w:iCs/>
        </w:rPr>
        <w:t>制专家</w:t>
      </w:r>
      <w:proofErr w:type="gramEnd"/>
      <w:r w:rsidR="00494ED2">
        <w:rPr>
          <w:rFonts w:hint="eastAsia"/>
          <w:iCs/>
        </w:rPr>
        <w:t>强调在在本题的命制过程中强调核心素养的运用，避免过量的重复计算，强调知识结构，能力与创新思维。以证明题的形式考查学生是否具备逻辑推理能力，第一问</w:t>
      </w:r>
      <w:r w:rsidR="005A1B37">
        <w:rPr>
          <w:rFonts w:hint="eastAsia"/>
          <w:iCs/>
        </w:rPr>
        <w:t>，</w:t>
      </w:r>
      <w:r w:rsidR="00494ED2">
        <w:rPr>
          <w:rFonts w:hint="eastAsia"/>
          <w:iCs/>
        </w:rPr>
        <w:t>计算最小值考查数学运算能力</w:t>
      </w:r>
      <w:r w:rsidR="005A1B37">
        <w:rPr>
          <w:rFonts w:hint="eastAsia"/>
          <w:iCs/>
        </w:rPr>
        <w:t>。</w:t>
      </w:r>
      <w:r w:rsidR="00BC12C6">
        <w:rPr>
          <w:rFonts w:hint="eastAsia"/>
          <w:iCs/>
        </w:rPr>
        <w:t>第二问</w:t>
      </w:r>
      <w:r w:rsidR="005A1B37">
        <w:rPr>
          <w:rFonts w:hint="eastAsia"/>
          <w:iCs/>
        </w:rPr>
        <w:t>，</w:t>
      </w:r>
      <w:r w:rsidR="00BC12C6">
        <w:rPr>
          <w:rFonts w:hint="eastAsia"/>
          <w:iCs/>
        </w:rPr>
        <w:t>要求学生具有直观想象能力，能在脑海里大致绘制两个函数的图像从而发现交点的情况。一次性考查了六大核心素养中的3点。</w:t>
      </w:r>
      <w:r w:rsidR="0017202F">
        <w:rPr>
          <w:rFonts w:hint="eastAsia"/>
          <w:iCs/>
        </w:rPr>
        <w:t xml:space="preserve"> </w:t>
      </w:r>
    </w:p>
    <w:p w14:paraId="555ED371" w14:textId="59B14F8E" w:rsidR="0017202F" w:rsidRDefault="0017202F" w:rsidP="00C5209A">
      <w:pPr>
        <w:ind w:firstLineChars="200" w:firstLine="420"/>
        <w:rPr>
          <w:iCs/>
        </w:rPr>
      </w:pPr>
    </w:p>
    <w:p w14:paraId="54A828AF" w14:textId="70D94D25" w:rsidR="008A5F9F" w:rsidRDefault="008A5F9F" w:rsidP="008A5F9F">
      <w:pPr>
        <w:rPr>
          <w:iCs/>
        </w:rPr>
      </w:pPr>
      <w:r>
        <w:rPr>
          <w:rFonts w:hint="eastAsia"/>
          <w:iCs/>
        </w:rPr>
        <w:t>二、解题思路</w:t>
      </w:r>
    </w:p>
    <w:p w14:paraId="5B718697" w14:textId="2C08E8B1" w:rsidR="008A5F9F" w:rsidRPr="00494ED2" w:rsidRDefault="008A5F9F" w:rsidP="008A5F9F">
      <w:pPr>
        <w:ind w:firstLineChars="202" w:firstLine="424"/>
        <w:rPr>
          <w:iCs/>
        </w:rPr>
      </w:pPr>
      <w:r>
        <w:rPr>
          <w:rFonts w:hint="eastAsia"/>
          <w:iCs/>
        </w:rPr>
        <w:t>此题要求学生具有敏锐的数学直觉，能想象函数图像并以此为线索，找到这两个函数唯一的交点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,b)</m:t>
        </m:r>
      </m:oMath>
      <w:r>
        <w:rPr>
          <w:rFonts w:hint="eastAsia"/>
          <w:iCs/>
        </w:rPr>
        <w:t>，随后由题目中3个交点的条件判断，三个点其中一点可能是过某个函数的最小值点或者两个函数的交点，由第一问的条件，容易发现只有过交点才能满足只有3个交点的情况，满足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=b</m:t>
        </m:r>
      </m:oMath>
      <w:r>
        <w:rPr>
          <w:rFonts w:hint="eastAsia"/>
          <w:iCs/>
        </w:rPr>
        <w:t>，从函数的结构看出另外两个点的坐标分别为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,b);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,b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func>
      </m:oMath>
      <w:r>
        <w:rPr>
          <w:rFonts w:hint="eastAsia"/>
          <w:iCs/>
        </w:rPr>
        <w:t>然后带入原式中证明具备等差数列的性质。</w:t>
      </w:r>
    </w:p>
    <w:sectPr w:rsidR="008A5F9F" w:rsidRPr="0049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1150" w14:textId="77777777" w:rsidR="00E9427D" w:rsidRDefault="00E9427D" w:rsidP="00CB7C9D">
      <w:r>
        <w:separator/>
      </w:r>
    </w:p>
  </w:endnote>
  <w:endnote w:type="continuationSeparator" w:id="0">
    <w:p w14:paraId="4998FA94" w14:textId="77777777" w:rsidR="00E9427D" w:rsidRDefault="00E9427D" w:rsidP="00CB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6CE5" w14:textId="77777777" w:rsidR="00E9427D" w:rsidRDefault="00E9427D" w:rsidP="00CB7C9D">
      <w:r>
        <w:separator/>
      </w:r>
    </w:p>
  </w:footnote>
  <w:footnote w:type="continuationSeparator" w:id="0">
    <w:p w14:paraId="36235D08" w14:textId="77777777" w:rsidR="00E9427D" w:rsidRDefault="00E9427D" w:rsidP="00CB7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4772"/>
    <w:multiLevelType w:val="hybridMultilevel"/>
    <w:tmpl w:val="D5524A26"/>
    <w:lvl w:ilvl="0" w:tplc="FFFFFFFF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4" w:hanging="420"/>
      </w:pPr>
    </w:lvl>
    <w:lvl w:ilvl="2" w:tplc="FFFFFFFF" w:tentative="1">
      <w:start w:val="1"/>
      <w:numFmt w:val="lowerRoman"/>
      <w:lvlText w:val="%3."/>
      <w:lvlJc w:val="right"/>
      <w:pPr>
        <w:ind w:left="1684" w:hanging="420"/>
      </w:pPr>
    </w:lvl>
    <w:lvl w:ilvl="3" w:tplc="FFFFFFFF" w:tentative="1">
      <w:start w:val="1"/>
      <w:numFmt w:val="decimal"/>
      <w:lvlText w:val="%4."/>
      <w:lvlJc w:val="left"/>
      <w:pPr>
        <w:ind w:left="2104" w:hanging="420"/>
      </w:pPr>
    </w:lvl>
    <w:lvl w:ilvl="4" w:tplc="FFFFFFFF" w:tentative="1">
      <w:start w:val="1"/>
      <w:numFmt w:val="lowerLetter"/>
      <w:lvlText w:val="%5)"/>
      <w:lvlJc w:val="left"/>
      <w:pPr>
        <w:ind w:left="2524" w:hanging="420"/>
      </w:pPr>
    </w:lvl>
    <w:lvl w:ilvl="5" w:tplc="FFFFFFFF" w:tentative="1">
      <w:start w:val="1"/>
      <w:numFmt w:val="lowerRoman"/>
      <w:lvlText w:val="%6."/>
      <w:lvlJc w:val="right"/>
      <w:pPr>
        <w:ind w:left="2944" w:hanging="420"/>
      </w:pPr>
    </w:lvl>
    <w:lvl w:ilvl="6" w:tplc="FFFFFFFF" w:tentative="1">
      <w:start w:val="1"/>
      <w:numFmt w:val="decimal"/>
      <w:lvlText w:val="%7."/>
      <w:lvlJc w:val="left"/>
      <w:pPr>
        <w:ind w:left="3364" w:hanging="420"/>
      </w:pPr>
    </w:lvl>
    <w:lvl w:ilvl="7" w:tplc="FFFFFFFF" w:tentative="1">
      <w:start w:val="1"/>
      <w:numFmt w:val="lowerLetter"/>
      <w:lvlText w:val="%8)"/>
      <w:lvlJc w:val="left"/>
      <w:pPr>
        <w:ind w:left="3784" w:hanging="420"/>
      </w:pPr>
    </w:lvl>
    <w:lvl w:ilvl="8" w:tplc="FFFFFFFF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59D92359"/>
    <w:multiLevelType w:val="hybridMultilevel"/>
    <w:tmpl w:val="385C90FC"/>
    <w:lvl w:ilvl="0" w:tplc="8892AF38">
      <w:start w:val="1"/>
      <w:numFmt w:val="decimal"/>
      <w:lvlText w:val="（%1）"/>
      <w:lvlJc w:val="left"/>
      <w:pPr>
        <w:ind w:left="1144" w:hanging="720"/>
      </w:pPr>
      <w:rPr>
        <w:rFonts w:hint="default"/>
        <w:i w:val="0"/>
        <w:i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7BD32208"/>
    <w:multiLevelType w:val="hybridMultilevel"/>
    <w:tmpl w:val="F6DAACB4"/>
    <w:lvl w:ilvl="0" w:tplc="A1A6F3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0543566">
    <w:abstractNumId w:val="2"/>
  </w:num>
  <w:num w:numId="2" w16cid:durableId="141580859">
    <w:abstractNumId w:val="1"/>
  </w:num>
  <w:num w:numId="3" w16cid:durableId="30142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D6"/>
    <w:rsid w:val="00011FFF"/>
    <w:rsid w:val="00042DF2"/>
    <w:rsid w:val="00145902"/>
    <w:rsid w:val="001462D9"/>
    <w:rsid w:val="0017202F"/>
    <w:rsid w:val="001C6BD6"/>
    <w:rsid w:val="00252F97"/>
    <w:rsid w:val="00353B9D"/>
    <w:rsid w:val="00494ED2"/>
    <w:rsid w:val="005A1B37"/>
    <w:rsid w:val="00610919"/>
    <w:rsid w:val="006A75A6"/>
    <w:rsid w:val="006B6ECA"/>
    <w:rsid w:val="007B26DC"/>
    <w:rsid w:val="00865702"/>
    <w:rsid w:val="008966A0"/>
    <w:rsid w:val="008A5F9F"/>
    <w:rsid w:val="008B2896"/>
    <w:rsid w:val="00A02E2A"/>
    <w:rsid w:val="00BC12C6"/>
    <w:rsid w:val="00BC4839"/>
    <w:rsid w:val="00BF2BA3"/>
    <w:rsid w:val="00C17AA4"/>
    <w:rsid w:val="00C5209A"/>
    <w:rsid w:val="00C609B5"/>
    <w:rsid w:val="00CB7C9D"/>
    <w:rsid w:val="00DE16BD"/>
    <w:rsid w:val="00E835C9"/>
    <w:rsid w:val="00E9427D"/>
    <w:rsid w:val="00E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A107C"/>
  <w15:chartTrackingRefBased/>
  <w15:docId w15:val="{71916A29-54C1-4039-92F4-C93337CD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C9D"/>
    <w:rPr>
      <w:sz w:val="18"/>
      <w:szCs w:val="18"/>
    </w:rPr>
  </w:style>
  <w:style w:type="paragraph" w:styleId="a7">
    <w:name w:val="List Paragraph"/>
    <w:basedOn w:val="a"/>
    <w:uiPriority w:val="34"/>
    <w:qFormat/>
    <w:rsid w:val="00353B9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F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Li Shugang</cp:lastModifiedBy>
  <cp:revision>4</cp:revision>
  <dcterms:created xsi:type="dcterms:W3CDTF">2023-02-26T04:09:00Z</dcterms:created>
  <dcterms:modified xsi:type="dcterms:W3CDTF">2023-02-27T14:02:00Z</dcterms:modified>
</cp:coreProperties>
</file>