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42.png" ContentType="image/png"/>
  <Override PartName="/word/media/rId46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8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283c2e698f14fcf4202aa849c72cd8e0e0e62d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почтового сервера Dovecot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пользовательской учетной записью, после чего осуществлён переход в режим суперпользователя с использованием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Установлены необходимые пакеты для работы почтового сервера и тестирования сетевых соединений — dovecot и telnet.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указан перечень почтовых протоколов, которые должен обслуживать сервер Dovecot. В качестве разрешённых протоколов заданы IMAP и POP3.</w:t>
      </w:r>
    </w:p>
    <w:p>
      <w:pPr>
        <w:numPr>
          <w:ilvl w:val="0"/>
          <w:numId w:val="1000"/>
        </w:numPr>
        <w:pStyle w:val="CaptionedFigure"/>
      </w:pPr>
      <w:bookmarkStart w:id="24" w:name="fig:009"/>
      <w:r>
        <w:drawing>
          <wp:inline>
            <wp:extent cx="5334000" cy="3358444"/>
            <wp:effectExtent b="0" l="0" r="0" t="0"/>
            <wp:docPr descr="Рис. 1: Настройка списка протоколов в dovecot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списка протоколов в dovecot.conf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проверено, что для аутентификации пользователей используется механизм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10"/>
      <w:r>
        <w:drawing>
          <wp:inline>
            <wp:extent cx="5334000" cy="3637134"/>
            <wp:effectExtent b="0" l="0" r="0" t="0"/>
            <wp:docPr descr="Рис. 2: Проверка механизма аутентификации в 10-auth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7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механизма аутентификации в 10-auth.conf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проверены параметры источников данных пользователей и их паролей. Установлено, что для проверки паролей используется PAM, а информация о пользователях берётся из системного файла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11"/>
      <w:r>
        <w:drawing>
          <wp:inline>
            <wp:extent cx="5334000" cy="3951667"/>
            <wp:effectExtent b="0" l="0" r="0" t="0"/>
            <wp:docPr descr="Рис. 3: Настройка источников аутентификации в auth-system.conf.ex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источников аутентификации в auth-system.conf.ext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настроено расположение почтовых ящиков пользователей. В качестве формата хранения почты выбран Maildir в домашнем каталоге пользователя.</w:t>
      </w:r>
    </w:p>
    <w:p>
      <w:pPr>
        <w:numPr>
          <w:ilvl w:val="0"/>
          <w:numId w:val="1000"/>
        </w:numPr>
        <w:pStyle w:val="CaptionedFigure"/>
      </w:pPr>
      <w:bookmarkStart w:id="36" w:name="fig:012"/>
      <w:r>
        <w:drawing>
          <wp:inline>
            <wp:extent cx="5334000" cy="3861288"/>
            <wp:effectExtent b="0" l="0" r="0" t="0"/>
            <wp:docPr descr="Рис. 4: Настройка расположения почтовых ящиков в 10-mail.conf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расположения почтовых ящиков в 10-mail.conf</w:t>
      </w:r>
    </w:p>
    <w:p>
      <w:pPr>
        <w:numPr>
          <w:ilvl w:val="0"/>
          <w:numId w:val="1001"/>
        </w:numPr>
      </w:pPr>
      <w:r>
        <w:t xml:space="preserve">В конфигурации почтового сервера Postfix задан каталог доставки почты в формате Maildir, расположенный в домашнем каталоге пользователя.</w:t>
      </w:r>
    </w:p>
    <w:p>
      <w:pPr>
        <w:numPr>
          <w:ilvl w:val="0"/>
          <w:numId w:val="1001"/>
        </w:numPr>
      </w:pPr>
      <w:r>
        <w:t xml:space="preserve">Выполнена настройка межсетевого экрана. Разрешена работа служб протоколов POP3, POP3S, IMAP и IMAPS, после чего применены внесённые изменения и выполнена проверка списка активных сервисов.</w:t>
      </w:r>
    </w:p>
    <w:p>
      <w:pPr>
        <w:numPr>
          <w:ilvl w:val="0"/>
          <w:numId w:val="1000"/>
        </w:numPr>
        <w:pStyle w:val="CaptionedFigure"/>
      </w:pPr>
      <w:bookmarkStart w:id="40" w:name="fig:013"/>
      <w:r>
        <w:drawing>
          <wp:inline>
            <wp:extent cx="5334000" cy="2601792"/>
            <wp:effectExtent b="0" l="0" r="0" t="0"/>
            <wp:docPr descr="Рис. 5: Настройка межсетевого экрана для почтовых сервисов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межсетевого экрана для почтовых сервисов</w:t>
      </w:r>
    </w:p>
    <w:p>
      <w:pPr>
        <w:numPr>
          <w:ilvl w:val="0"/>
          <w:numId w:val="1001"/>
        </w:numPr>
      </w:pPr>
      <w:r>
        <w:t xml:space="preserve">Для обеспечения корректной работы служб выполнено восстановление контекста безопасности SELinux для конфигурационных файлов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Завершена настройка перезапуском службы Postfix, включением сервиса Dovecot в автозагрузку и его последующим запуском. После выполнения указанных действий служба Dovecot успешно запущена и готова к эксплуатации.</w:t>
      </w:r>
    </w:p>
    <w:bookmarkEnd w:id="41"/>
    <w:bookmarkStart w:id="73" w:name="X10143fc3dce41ed047e8c1697347741b16ed96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почтового сервера Dovecot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 отдельном терминале был запущен мониторинг работы почтовых служб. В процессе выполнения дальнейших действий отслеживались сообщения, формируемые почтовыми сервисами, что позволило контролировать доставку и обработку почты в реальном времени.</w:t>
      </w:r>
    </w:p>
    <w:p>
      <w:pPr>
        <w:numPr>
          <w:ilvl w:val="0"/>
          <w:numId w:val="1000"/>
        </w:numPr>
        <w:pStyle w:val="CaptionedFigure"/>
      </w:pPr>
      <w:bookmarkStart w:id="45" w:name="fig:014"/>
      <w:r>
        <w:drawing>
          <wp:inline>
            <wp:extent cx="5334000" cy="1771650"/>
            <wp:effectExtent b="0" l="0" r="0" t="0"/>
            <wp:docPr descr="Рис. 6: Мониторинг журнала почтовых служб" title="" id="43" name="Picture"/>
            <a:graphic>
              <a:graphicData uri="http://schemas.openxmlformats.org/drawingml/2006/picture">
                <pic:pic>
                  <pic:nvPicPr>
                    <pic:cNvPr descr="Screenshot_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Мониторинг журнала почтовых служб</w:t>
      </w:r>
    </w:p>
    <w:p>
      <w:pPr>
        <w:numPr>
          <w:ilvl w:val="0"/>
          <w:numId w:val="1002"/>
        </w:numPr>
      </w:pPr>
      <w:r>
        <w:t xml:space="preserve">Для просмотра почты, доставленной в почтовый ящик пользователя на сервере, выполнен вход под пользовательской учетной записью и открыт локальный почтовый клиент. Подтверждено наличие доставленных сообщений в каталоге Maildir.</w:t>
      </w:r>
    </w:p>
    <w:p>
      <w:pPr>
        <w:numPr>
          <w:ilvl w:val="0"/>
          <w:numId w:val="1000"/>
        </w:numPr>
        <w:pStyle w:val="CaptionedFigure"/>
      </w:pPr>
      <w:bookmarkStart w:id="49" w:name="fig:015"/>
      <w:r>
        <w:drawing>
          <wp:inline>
            <wp:extent cx="5334000" cy="3451411"/>
            <wp:effectExtent b="0" l="0" r="0" t="0"/>
            <wp:docPr descr="Рис. 7: Просмотр почтового ящика пользователя на сервере" title="" id="47" name="Picture"/>
            <a:graphic>
              <a:graphicData uri="http://schemas.openxmlformats.org/drawingml/2006/picture">
                <pic:pic>
                  <pic:nvPicPr>
                    <pic:cNvPr descr="Screenshot_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Просмотр почтового ящика пользователя на сервере</w:t>
      </w:r>
    </w:p>
    <w:p>
      <w:pPr>
        <w:numPr>
          <w:ilvl w:val="0"/>
          <w:numId w:val="1002"/>
        </w:numPr>
      </w:pPr>
      <w:r>
        <w:t xml:space="preserve">С правами суперпользователя выполнена проверка структуры почтовых ящиков пользователя с использованием административного инструмента Dovecot. Убедились, что почтовые папки пользователя определяются корректно.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вход под пользовательской учетной записью и осуществлён переход в режим суперпользователя.</w:t>
      </w:r>
    </w:p>
    <w:p>
      <w:pPr>
        <w:numPr>
          <w:ilvl w:val="0"/>
          <w:numId w:val="1002"/>
        </w:numPr>
      </w:pPr>
      <w:r>
        <w:t xml:space="preserve">Установлен почтовый клиент Evolution, предназначенный для работы с протоколами IMAP и SMTP.</w:t>
      </w:r>
    </w:p>
    <w:p>
      <w:pPr>
        <w:numPr>
          <w:ilvl w:val="0"/>
          <w:numId w:val="1002"/>
        </w:numPr>
      </w:pPr>
      <w:r>
        <w:t xml:space="preserve">Выполнен запуск и пошаговая настройка почтового клиента Evolution. В процессе настройки:</w:t>
      </w:r>
    </w:p>
    <w:p>
      <w:pPr>
        <w:numPr>
          <w:ilvl w:val="1"/>
          <w:numId w:val="1003"/>
        </w:numPr>
        <w:pStyle w:val="Compact"/>
      </w:pPr>
      <w:r>
        <w:t xml:space="preserve">указаны имя пользователя и адрес электронной почты в формате</w:t>
      </w:r>
      <w:r>
        <w:t xml:space="preserve"> </w:t>
      </w:r>
      <w:r>
        <w:rPr>
          <w:rStyle w:val="VerbatimChar"/>
        </w:rPr>
        <w:t xml:space="preserve">user@user.net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в качестве серверов входящей и исходящей почты задан адрес</w:t>
      </w:r>
      <w:r>
        <w:t xml:space="preserve"> </w:t>
      </w:r>
      <w:r>
        <w:rPr>
          <w:rStyle w:val="VerbatimChar"/>
        </w:rPr>
        <w:t xml:space="preserve">mail.user.net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проверены номера портов: 143 для IMAP и 25 для SMTP;</w:t>
      </w:r>
    </w:p>
    <w:p>
      <w:pPr>
        <w:numPr>
          <w:ilvl w:val="1"/>
          <w:numId w:val="1003"/>
        </w:numPr>
        <w:pStyle w:val="Compact"/>
      </w:pPr>
      <w:r>
        <w:t xml:space="preserve">для IMAP выбран метод шифрования STARTTLS и аутентификация по обычному паролю;</w:t>
      </w:r>
    </w:p>
    <w:p>
      <w:pPr>
        <w:numPr>
          <w:ilvl w:val="1"/>
          <w:numId w:val="1003"/>
        </w:numPr>
        <w:pStyle w:val="Compact"/>
      </w:pPr>
      <w:r>
        <w:t xml:space="preserve">для SMTP отключена аутентификация;</w:t>
      </w:r>
    </w:p>
    <w:p>
      <w:pPr>
        <w:numPr>
          <w:ilvl w:val="1"/>
          <w:numId w:val="1003"/>
        </w:numPr>
        <w:pStyle w:val="Compact"/>
      </w:pPr>
      <w:r>
        <w:t xml:space="preserve">подтверждено исключение безопасности при использовании небезопасного соединения.</w:t>
      </w:r>
    </w:p>
    <w:p>
      <w:pPr>
        <w:numPr>
          <w:ilvl w:val="0"/>
          <w:numId w:val="1000"/>
        </w:numPr>
        <w:pStyle w:val="CaptionedFigure"/>
      </w:pPr>
      <w:bookmarkStart w:id="53" w:name="fig:016"/>
      <w:r>
        <w:drawing>
          <wp:inline>
            <wp:extent cx="5334000" cy="2980566"/>
            <wp:effectExtent b="0" l="0" r="0" t="0"/>
            <wp:docPr descr="Рис. 8: Настройка учетной записи в Evolution — идентификация" title="" id="51" name="Picture"/>
            <a:graphic>
              <a:graphicData uri="http://schemas.openxmlformats.org/drawingml/2006/picture">
                <pic:pic>
                  <pic:nvPicPr>
                    <pic:cNvPr descr="Screenshot_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Настройка учетной записи в Evolution — идентификация</w:t>
      </w:r>
    </w:p>
    <w:p>
      <w:pPr>
        <w:numPr>
          <w:ilvl w:val="0"/>
          <w:numId w:val="1000"/>
        </w:numPr>
        <w:pStyle w:val="CaptionedFigure"/>
      </w:pPr>
      <w:bookmarkStart w:id="57" w:name="fig:017"/>
      <w:r>
        <w:drawing>
          <wp:inline>
            <wp:extent cx="5334000" cy="3098030"/>
            <wp:effectExtent b="0" l="0" r="0" t="0"/>
            <wp:docPr descr="Рис. 9: Настройка входящей почты IMAP в Evolution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Настройка входящей почты IMAP в Evolution</w:t>
      </w:r>
    </w:p>
    <w:p>
      <w:pPr>
        <w:numPr>
          <w:ilvl w:val="0"/>
          <w:numId w:val="1000"/>
        </w:numPr>
        <w:pStyle w:val="CaptionedFigure"/>
      </w:pPr>
      <w:bookmarkStart w:id="61" w:name="fig:018"/>
      <w:r>
        <w:drawing>
          <wp:inline>
            <wp:extent cx="5334000" cy="3157133"/>
            <wp:effectExtent b="0" l="0" r="0" t="0"/>
            <wp:docPr descr="Рис. 10: Настройка исходящей почты SMTP в Evolution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исходящей почты SMTP в Evolution</w:t>
      </w:r>
    </w:p>
    <w:p>
      <w:pPr>
        <w:numPr>
          <w:ilvl w:val="0"/>
          <w:numId w:val="1002"/>
        </w:numPr>
      </w:pPr>
      <w:r>
        <w:t xml:space="preserve">Из почтового клиента отправлены несколько тестовых писем на собственный адрес электронной почты. Подтверждено успешное получение сообщений во входящем почтовом ящике.</w:t>
      </w:r>
    </w:p>
    <w:p>
      <w:pPr>
        <w:numPr>
          <w:ilvl w:val="0"/>
          <w:numId w:val="1000"/>
        </w:numPr>
        <w:pStyle w:val="CaptionedFigure"/>
      </w:pPr>
      <w:bookmarkStart w:id="65" w:name="fig:019"/>
      <w:r>
        <w:drawing>
          <wp:inline>
            <wp:extent cx="5334000" cy="3273286"/>
            <wp:effectExtent b="0" l="0" r="0" t="0"/>
            <wp:docPr descr="Рис. 11: Получение тестового письма в Evolution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Получение тестового письма в Evolution</w:t>
      </w:r>
    </w:p>
    <w:p>
      <w:pPr>
        <w:numPr>
          <w:ilvl w:val="0"/>
          <w:numId w:val="1002"/>
        </w:numPr>
      </w:pPr>
      <w:r>
        <w:t xml:space="preserve">В процессе отправки и получения сообщений проанализированы записи журнала почтовых служб на сервере. Установлено, что:</w:t>
      </w:r>
    </w:p>
    <w:p>
      <w:pPr>
        <w:numPr>
          <w:ilvl w:val="1"/>
          <w:numId w:val="1004"/>
        </w:numPr>
        <w:pStyle w:val="Compact"/>
      </w:pPr>
      <w:r>
        <w:t xml:space="preserve">аутентификация пользователя выполнена успешно;</w:t>
      </w:r>
    </w:p>
    <w:p>
      <w:pPr>
        <w:numPr>
          <w:ilvl w:val="1"/>
          <w:numId w:val="1004"/>
        </w:numPr>
        <w:pStyle w:val="Compact"/>
      </w:pPr>
      <w:r>
        <w:t xml:space="preserve">соединение по протоколу IMAP установлено с использованием STARTTLS;</w:t>
      </w:r>
    </w:p>
    <w:p>
      <w:pPr>
        <w:numPr>
          <w:ilvl w:val="1"/>
          <w:numId w:val="1004"/>
        </w:numPr>
        <w:pStyle w:val="Compact"/>
      </w:pPr>
      <w:r>
        <w:t xml:space="preserve">сообщения корректно приняты, обработаны и доставлены в Maildir пользователя.</w:t>
      </w:r>
    </w:p>
    <w:p>
      <w:pPr>
        <w:numPr>
          <w:ilvl w:val="0"/>
          <w:numId w:val="1000"/>
        </w:numPr>
        <w:pStyle w:val="CaptionedFigure"/>
      </w:pPr>
      <w:bookmarkStart w:id="69" w:name="fig:020"/>
      <w:r>
        <w:drawing>
          <wp:inline>
            <wp:extent cx="5334000" cy="2734887"/>
            <wp:effectExtent b="0" l="0" r="0" t="0"/>
            <wp:docPr descr="Рис. 12: Записи в журнале Postfix и Dovecot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Записи в журнале Postfix и Dovecot</w:t>
      </w:r>
    </w:p>
    <w:p>
      <w:pPr>
        <w:numPr>
          <w:ilvl w:val="0"/>
          <w:numId w:val="1002"/>
        </w:numPr>
      </w:pPr>
      <w:r>
        <w:t xml:space="preserve">Проверена работа почтовой службы с использованием протокола POP3 через Telnet. Выполнено подключение к почтовому серверу, получен список писем, выполнено чтение одного сообщения и удаление другого, после чего сеанс завершён корректно.</w:t>
      </w:r>
    </w:p>
    <w:p>
      <w:pPr>
        <w:numPr>
          <w:ilvl w:val="0"/>
          <w:numId w:val="1000"/>
        </w:numPr>
        <w:pStyle w:val="CaptionedFigure"/>
      </w:pPr>
      <w:bookmarkStart w:id="72" w:name="fig:021"/>
      <w:r>
        <w:drawing>
          <wp:inline>
            <wp:extent cx="5334000" cy="3451411"/>
            <wp:effectExtent b="0" l="0" r="0" t="0"/>
            <wp:docPr descr="Рис. 13: Проверка POP3 через Telnet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Проверка POP3 через Telnet</w:t>
      </w:r>
    </w:p>
    <w:p>
      <w:pPr>
        <w:numPr>
          <w:ilvl w:val="0"/>
          <w:numId w:val="1002"/>
        </w:numPr>
      </w:pPr>
      <w:r>
        <w:t xml:space="preserve">Установлено, что операции просмотра, чтения и удаления почтовых сообщений через POP3 выполняются корректно, а изменения отражаются в почтовом ящике пользователя.</w:t>
      </w:r>
    </w:p>
    <w:bookmarkEnd w:id="73"/>
    <w:bookmarkStart w:id="82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5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Создана структура каталогов для хранения конфигурационных файлов почтового сервера.</w:t>
      </w:r>
    </w:p>
    <w:p>
      <w:pPr>
        <w:numPr>
          <w:ilvl w:val="0"/>
          <w:numId w:val="1005"/>
        </w:numPr>
      </w:pPr>
      <w:r>
        <w:t xml:space="preserve">Конфигурационные файлы Dovecot скопированы в каталог provisioning-сценариев для последующего автоматического развёртывания:</w:t>
      </w:r>
    </w:p>
    <w:p>
      <w:pPr>
        <w:numPr>
          <w:ilvl w:val="0"/>
          <w:numId w:val="1006"/>
        </w:numPr>
        <w:pStyle w:val="Compact"/>
      </w:pPr>
      <w:r>
        <w:t xml:space="preserve">основной конфигурационный файл Dovecot;</w:t>
      </w:r>
    </w:p>
    <w:p>
      <w:pPr>
        <w:numPr>
          <w:ilvl w:val="0"/>
          <w:numId w:val="1006"/>
        </w:numPr>
        <w:pStyle w:val="Compact"/>
      </w:pPr>
      <w:r>
        <w:t xml:space="preserve">файлы аутентификации;</w:t>
      </w:r>
    </w:p>
    <w:p>
      <w:pPr>
        <w:numPr>
          <w:ilvl w:val="0"/>
          <w:numId w:val="1006"/>
        </w:numPr>
        <w:pStyle w:val="Compact"/>
      </w:pPr>
      <w:r>
        <w:t xml:space="preserve">файл настройки расположения почтовых ящиков.</w:t>
      </w:r>
    </w:p>
    <w:p>
      <w:pPr>
        <w:numPr>
          <w:ilvl w:val="0"/>
          <w:numId w:val="1007"/>
        </w:numPr>
        <w:pStyle w:val="Compac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изменения, включающие:</w:t>
      </w:r>
    </w:p>
    <w:p>
      <w:pPr>
        <w:numPr>
          <w:ilvl w:val="0"/>
          <w:numId w:val="1008"/>
        </w:numPr>
        <w:pStyle w:val="Compact"/>
      </w:pPr>
      <w:r>
        <w:t xml:space="preserve">установку пакетов Dovecot и Telnet;</w:t>
      </w:r>
    </w:p>
    <w:p>
      <w:pPr>
        <w:numPr>
          <w:ilvl w:val="0"/>
          <w:numId w:val="1008"/>
        </w:numPr>
        <w:pStyle w:val="Compact"/>
      </w:pPr>
      <w:r>
        <w:t xml:space="preserve">настройку межсетевого экрана для почтовых протоколов;</w:t>
      </w:r>
    </w:p>
    <w:p>
      <w:pPr>
        <w:numPr>
          <w:ilvl w:val="0"/>
          <w:numId w:val="1008"/>
        </w:numPr>
        <w:pStyle w:val="Compact"/>
      </w:pPr>
      <w:r>
        <w:t xml:space="preserve">задание месторасположения почтовых ящиков в Postfix;</w:t>
      </w:r>
    </w:p>
    <w:p>
      <w:pPr>
        <w:numPr>
          <w:ilvl w:val="0"/>
          <w:numId w:val="1008"/>
        </w:numPr>
        <w:pStyle w:val="Compact"/>
      </w:pPr>
      <w:r>
        <w:t xml:space="preserve">перезапуск Postfix и запуск Dovecot.</w:t>
      </w:r>
    </w:p>
    <w:p>
      <w:pPr>
        <w:pStyle w:val="CaptionedFigure"/>
      </w:pPr>
      <w:bookmarkStart w:id="77" w:name="fig:022"/>
      <w:r>
        <w:drawing>
          <wp:inline>
            <wp:extent cx="5334000" cy="3436393"/>
            <wp:effectExtent b="0" l="0" r="0" t="0"/>
            <wp:docPr descr="Рис. 14: Изменения в provisioning-скрипте mail.sh для server" title="" id="75" name="Picture"/>
            <a:graphic>
              <a:graphicData uri="http://schemas.openxmlformats.org/drawingml/2006/picture">
                <pic:pic>
                  <pic:nvPicPr>
                    <pic:cNvPr descr="Screenshot_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Изменения в provisioning-скрипте mail.sh для server</w:t>
      </w:r>
    </w:p>
    <w:p>
      <w:pPr>
        <w:numPr>
          <w:ilvl w:val="0"/>
          <w:numId w:val="1009"/>
        </w:numPr>
        <w:pStyle w:val="Compact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скорректирован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. В него добавлена установка почтового клиента Evolution для автоматической настройки окружения клиента.</w:t>
      </w:r>
    </w:p>
    <w:p>
      <w:pPr>
        <w:pStyle w:val="CaptionedFigure"/>
      </w:pPr>
      <w:bookmarkStart w:id="81" w:name="fig:023"/>
      <w:r>
        <w:drawing>
          <wp:inline>
            <wp:extent cx="5334000" cy="2880170"/>
            <wp:effectExtent b="0" l="0" r="0" t="0"/>
            <wp:docPr descr="Рис. 15: Изменения в provisioning-скрипте mail.sh для client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Изменения в provisioning-скрипте mail.sh для client</w:t>
      </w:r>
    </w:p>
    <w:bookmarkEnd w:id="82"/>
    <w:bookmarkEnd w:id="83"/>
    <w:bookmarkStart w:id="8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 установлен и настроен почтовый сервер на базе Postfix и Dovecot.</w:t>
      </w:r>
      <w:r>
        <w:br/>
      </w:r>
      <w:r>
        <w:t xml:space="preserve">Выполнена настройка протоколов IMAP и POP3, обеспечено хранение почты в формате Maildir и корректная аутентификация пользователей.</w:t>
      </w:r>
      <w:r>
        <w:br/>
      </w:r>
      <w:r>
        <w:t xml:space="preserve">Проверена работа почтовой системы с использованием почтового клиента Evolution, утилит mail, doveadm и протокола Telnet.</w:t>
      </w:r>
      <w:r>
        <w:br/>
      </w:r>
      <w:r>
        <w:t xml:space="preserve">Подтверждена корректная доставка, получение и удаление почтовых сообщений, а также функционирование сервисов в автоматизированном окружении Vagrant.</w:t>
      </w:r>
    </w:p>
    <w:bookmarkEnd w:id="84"/>
    <w:bookmarkStart w:id="8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За что отвечает протокол SMTP</w:t>
      </w:r>
      <w:r>
        <w:br/>
      </w:r>
      <w:r>
        <w:t xml:space="preserve">SMTP (Simple Mail Transfer Protocol) предназначен для отправки и передачи электронных писем между почтовыми серверами и от клиента к серверу.</w:t>
      </w:r>
      <w:r>
        <w:br/>
      </w:r>
      <w:r>
        <w:t xml:space="preserve">Он используется на этапе доставки сообщений и не предназначен для их хранения или чтения.</w:t>
      </w:r>
    </w:p>
    <w:p>
      <w:pPr>
        <w:numPr>
          <w:ilvl w:val="0"/>
          <w:numId w:val="1010"/>
        </w:numPr>
      </w:pPr>
      <w:r>
        <w:t xml:space="preserve">За что отвечает протокол IMAP</w:t>
      </w:r>
      <w:r>
        <w:br/>
      </w:r>
      <w:r>
        <w:t xml:space="preserve">IMAP (Internet Message Access Protocol) предназначен для доступа пользователей к почтовым ящикам на сервере.</w:t>
      </w:r>
      <w:r>
        <w:br/>
      </w:r>
      <w:r>
        <w:t xml:space="preserve">Протокол позволяет хранить письма на сервере, работать с папками, читать сообщения с нескольких устройств и синхронизировать состояние почты.</w:t>
      </w:r>
    </w:p>
    <w:p>
      <w:pPr>
        <w:numPr>
          <w:ilvl w:val="0"/>
          <w:numId w:val="1010"/>
        </w:numPr>
      </w:pPr>
      <w:r>
        <w:t xml:space="preserve">За что отвечает протокол POP3</w:t>
      </w:r>
      <w:r>
        <w:br/>
      </w:r>
      <w:r>
        <w:t xml:space="preserve">POP3 (Post Office Protocol version 3) используется для получения почты с сервера.</w:t>
      </w:r>
      <w:r>
        <w:br/>
      </w:r>
      <w:r>
        <w:t xml:space="preserve">Как правило, письма загружаются на клиент и могут удаляться с сервера, что делает POP3 менее удобным для работы с нескольких устройств.</w:t>
      </w:r>
    </w:p>
    <w:p>
      <w:pPr>
        <w:numPr>
          <w:ilvl w:val="0"/>
          <w:numId w:val="1010"/>
        </w:numPr>
      </w:pPr>
      <w:r>
        <w:t xml:space="preserve">В чём назначение Dovecot</w:t>
      </w:r>
      <w:r>
        <w:br/>
      </w:r>
      <w:r>
        <w:t xml:space="preserve">Dovecot — это сервер доступа к почте, реализующий протоколы IMAP и POP3.</w:t>
      </w:r>
      <w:r>
        <w:br/>
      </w:r>
      <w:r>
        <w:t xml:space="preserve">Он отвечает за аутентификацию пользователей, предоставление доступа к почтовым ящикам и работу с хранилищем почты.</w:t>
      </w:r>
    </w:p>
    <w:p>
      <w:pPr>
        <w:numPr>
          <w:ilvl w:val="0"/>
          <w:numId w:val="1010"/>
        </w:numPr>
      </w:pPr>
      <w:r>
        <w:t xml:space="preserve">В каких файлах обычно находятся настройки работы Dovecot? За что отвечает каждый из файлов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конфигурационный файл, определяющий общие параметры и используемые протоколы.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— настройки механизмов аутентификации пользователей.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— описание источников данных пользователей и паролей (PAM, passwd).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— настройка расположения и формата хранения почтовых ящиков.</w:t>
      </w:r>
    </w:p>
    <w:p>
      <w:pPr>
        <w:numPr>
          <w:ilvl w:val="0"/>
          <w:numId w:val="1010"/>
        </w:numPr>
      </w:pPr>
      <w:r>
        <w:t xml:space="preserve">В чём назначение Postfix</w:t>
      </w:r>
      <w:r>
        <w:br/>
      </w:r>
      <w:r>
        <w:t xml:space="preserve">Postfix — это почтовый сервер (MTA), предназначенный для приёма, маршрутизации и доставки электронных писем.</w:t>
      </w:r>
      <w:r>
        <w:br/>
      </w:r>
      <w:r>
        <w:t xml:space="preserve">Он обрабатывает входящую и исходящую почту и взаимодействует с другими почтовыми серверами по протоколу SMTP.</w:t>
      </w:r>
    </w:p>
    <w:p>
      <w:pPr>
        <w:numPr>
          <w:ilvl w:val="0"/>
          <w:numId w:val="1010"/>
        </w:numPr>
      </w:pPr>
      <w:r>
        <w:t xml:space="preserve">Какие методы аутентификации пользователей можно использовать в Dovecot и в чём их отличие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plain</w:t>
      </w:r>
      <w:r>
        <w:t xml:space="preserve"> </w:t>
      </w:r>
      <w:r>
        <w:t xml:space="preserve">— передача логина и пароля в открытом виде (обычно используется вместе с TLS).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login</w:t>
      </w:r>
      <w:r>
        <w:t xml:space="preserve"> </w:t>
      </w:r>
      <w:r>
        <w:t xml:space="preserve">— аналогичен plain, но с другой схемой передачи данных.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digest-md5</w:t>
      </w:r>
      <w:r>
        <w:t xml:space="preserve">,</w:t>
      </w:r>
      <w:r>
        <w:t xml:space="preserve"> </w:t>
      </w:r>
      <w:r>
        <w:rPr>
          <w:rStyle w:val="VerbatimChar"/>
        </w:rPr>
        <w:t xml:space="preserve">cram-md5</w:t>
      </w:r>
      <w:r>
        <w:t xml:space="preserve"> </w:t>
      </w:r>
      <w:r>
        <w:t xml:space="preserve">— методы с хешированием, не передающие пароль в открытом виде.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pam</w:t>
      </w:r>
      <w:r>
        <w:t xml:space="preserve"> </w:t>
      </w:r>
      <w:r>
        <w:t xml:space="preserve">— аутентификация через системные механизмы Linux.</w:t>
      </w:r>
      <w:r>
        <w:br/>
      </w:r>
      <w:r>
        <w:t xml:space="preserve">Отличие методов заключается в уровне безопасности и способе передачи учётных данных.</w:t>
      </w:r>
    </w:p>
    <w:p>
      <w:pPr>
        <w:numPr>
          <w:ilvl w:val="0"/>
          <w:numId w:val="1010"/>
        </w:numPr>
      </w:pPr>
      <w:r>
        <w:t xml:space="preserve">Приведите пример заголовка письма с пояснениями его полей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From</w:t>
      </w:r>
      <w:r>
        <w:t xml:space="preserve"> </w:t>
      </w:r>
      <w:r>
        <w:t xml:space="preserve">— адрес отправителя сообщения.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To</w:t>
      </w:r>
      <w:r>
        <w:t xml:space="preserve"> </w:t>
      </w:r>
      <w:r>
        <w:t xml:space="preserve">— адрес получателя.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Subject</w:t>
      </w:r>
      <w:r>
        <w:t xml:space="preserve"> </w:t>
      </w:r>
      <w:r>
        <w:t xml:space="preserve">— тема письма.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дата и время отправки письма.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Message-ID</w:t>
      </w:r>
      <w:r>
        <w:t xml:space="preserve"> </w:t>
      </w:r>
      <w:r>
        <w:t xml:space="preserve">— уникальный идентификатор сообщения.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Received</w:t>
      </w:r>
      <w:r>
        <w:t xml:space="preserve"> </w:t>
      </w:r>
      <w:r>
        <w:t xml:space="preserve">— информация о серверах, через которые прошло письмо.</w:t>
      </w:r>
    </w:p>
    <w:p>
      <w:pPr>
        <w:numPr>
          <w:ilvl w:val="0"/>
          <w:numId w:val="1010"/>
        </w:numPr>
      </w:pPr>
      <w:r>
        <w:t xml:space="preserve">Приведите примеры использования команд для работы с почтовыми протоколами через терминал</w:t>
      </w:r>
    </w:p>
    <w:p>
      <w:pPr>
        <w:numPr>
          <w:ilvl w:val="1"/>
          <w:numId w:val="1014"/>
        </w:numPr>
        <w:pStyle w:val="Compact"/>
      </w:pPr>
      <w:r>
        <w:t xml:space="preserve">Подключение к POP3-серверу через Telnet для получения списка писем.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Использование команд получения и удаления сообщений в рамках POP3-сессии.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Завершение сеанса работы с почтовым сервером через команду выхода.</w:t>
      </w:r>
    </w:p>
    <w:p>
      <w:pPr>
        <w:numPr>
          <w:ilvl w:val="0"/>
          <w:numId w:val="1010"/>
        </w:numPr>
      </w:pPr>
      <w:r>
        <w:t xml:space="preserve">Приведите примеры с пояснениями по работе с doveadm</w:t>
      </w:r>
    </w:p>
    <w:p>
      <w:pPr>
        <w:numPr>
          <w:ilvl w:val="1"/>
          <w:numId w:val="1015"/>
        </w:numPr>
        <w:pStyle w:val="Compact"/>
      </w:pPr>
      <w:r>
        <w:t xml:space="preserve">Просмотр списка почтовых ящиков пользователя — используется для проверки структуры Maildir.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Проверка состояния почтового хранилища пользователя.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Административное управление почтовыми ящиками и диагностика работы Dovecot.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1"/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1"/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Абрикосов Артем</dc:creator>
  <dc:language>ru-RU</dc:language>
  <cp:keywords/>
  <dcterms:created xsi:type="dcterms:W3CDTF">2026-01-08T11:24:06Z</dcterms:created>
  <dcterms:modified xsi:type="dcterms:W3CDTF">2026-01-08T11:24:06Z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POP3/IMAP 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