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92.png" ContentType="image/png"/>
  <Override PartName="/word/media/rId95.png" ContentType="image/png"/>
  <Override PartName="/word/media/rId103.png" ContentType="image/png"/>
  <Override PartName="/word/media/rId99.png" ContentType="image/png"/>
  <Override PartName="/word/media/rId84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53.png" ContentType="image/png"/>
  <Override PartName="/word/media/rId149.png" ContentType="image/png"/>
  <Override PartName="/word/media/rId133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8.png" ContentType="image/png"/>
  <Override PartName="/word/media/rId124.png" ContentType="image/png"/>
  <Override PartName="/word/media/rId108.png" ContentType="image/png"/>
  <Override PartName="/word/media/rId36.png" ContentType="image/png"/>
  <Override PartName="/word/media/rId71.png" ContentType="image/png"/>
  <Override PartName="/word/media/rId75.png" ContentType="image/png"/>
  <Override PartName="/word/media/rId27.png" ContentType="image/png"/>
  <Override PartName="/word/media/rId23.png" ContentType="image/png"/>
  <Override PartName="/word/media/rId58.png" ContentType="image/png"/>
  <Override PartName="/word/media/rId62.png" ContentType="image/png"/>
  <Override PartName="/word/media/rId46.png" ContentType="image/png"/>
  <Override PartName="/word/media/rId50.png" ContentType="image/png"/>
  <Override PartName="/word/media/rId5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1</w:t>
      </w:r>
    </w:p>
    <w:p>
      <w:pPr>
        <w:pStyle w:val="Subtitle"/>
      </w:pPr>
      <w:r>
        <w:t>Методы кодирования и модуляция сигналов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60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Построение графиков в Octave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Постановка задачи</w:t>
      </w:r>
    </w:p>
    <w:p>
      <w:pPr>
        <w:pStyle w:val="FirstParagraph"/>
      </w:pPr>
      <w:r>
        <w:t xml:space="preserve">Необходимо построить графики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, используя Octave и функцию </w:t>
      </w:r>
      <w:r>
        <w:rPr>
          <w:rStyle w:val="VerbatimChar"/>
        </w:rPr>
        <w:t xml:space="preserve">plot</w:t>
      </w:r>
      <w:r>
        <w:t xml:space="preserve">. Графики требуется экспортировать в файлы формата </w:t>
      </w:r>
      <w:r>
        <w:rPr>
          <w:rStyle w:val="VerbatimChar"/>
        </w:rPr>
        <w:t xml:space="preserve">.eps</w:t>
      </w:r>
      <w:r>
        <w:t xml:space="preserve"> и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ход-работы"/>
    <w:p>
      <w:pPr>
        <w:pStyle w:val="Heading3"/>
      </w:pPr>
      <w:r>
        <w:rPr>
          <w:rStyle w:val="SectionNumber"/>
        </w:rPr>
        <w:t xml:space="preserve">2.1.2</w:t>
      </w:r>
      <w:r>
        <w:tab/>
        <w:t xml:space="preserve">Ход работы</w:t>
      </w:r>
    </w:p>
    <w:p>
      <w:pPr>
        <w:pStyle w:val="FirstParagraph"/>
      </w:pPr>
      <w:r>
        <w:t xml:space="preserve">В среде Octave создан скрипт, в котором:</w:t>
        <w:br/>
        <w:t xml:space="preserve">1. Задан интервал изменения аргумента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.</w:t>
        <w:br/>
        <w:t xml:space="preserve">2. Определены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</w:t>
        <w:br/>
        <w:t xml:space="preserve">3. Построен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 экспортирован в форматы </w:t>
      </w:r>
      <w:r>
        <w:rPr>
          <w:rStyle w:val="VerbatimChar"/>
        </w:rPr>
        <w:t xml:space="preserve">.eps</w:t>
      </w:r>
      <w:r>
        <w:t xml:space="preserve"> и </w:t>
      </w:r>
      <w:r>
        <w:rPr>
          <w:rStyle w:val="VerbatimChar"/>
        </w:rPr>
        <w:t xml:space="preserve">.png</w:t>
      </w:r>
      <w:r>
        <w:t xml:space="preserve">.</w:t>
        <w:br/>
        <w:t xml:space="preserve">4. На одном графике построены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, добавлена легенда для удобства анализа.</w:t>
      </w:r>
    </w:p>
    <w:bookmarkEnd w:id="22"/>
    <w:bookmarkStart w:id="31" w:name="полученные-результаты"/>
    <w:p>
      <w:pPr>
        <w:pStyle w:val="Heading3"/>
      </w:pPr>
      <w:r>
        <w:rPr>
          <w:rStyle w:val="SectionNumber"/>
        </w:rPr>
        <w:t xml:space="preserve">2.1.3</w:t>
      </w:r>
      <w:r>
        <w:tab/>
        <w:t xml:space="preserve">Полученные результаты</w:t>
      </w:r>
    </w:p>
    <w:p>
      <w:pPr>
        <w:pStyle w:val="FirstParagraph"/>
      </w:pPr>
      <w:r>
        <w:t xml:space="preserve">На первом рисунке представлен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26" w:name="fig:001"/>
      <w:r>
        <w:drawing>
          <wp:inline>
            <wp:extent cx="5334000" cy="3997731"/>
            <wp:effectExtent b="0" l="0" r="0" t="0"/>
            <wp:docPr descr="Рис. 1: График функции y1" title="" id="24" name="Picture"/>
            <a:graphic>
              <a:graphicData uri="http://schemas.openxmlformats.org/drawingml/2006/picture">
                <pic:pic>
                  <pic:nvPicPr>
                    <pic:cNvPr descr="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функции y1</w:t>
      </w:r>
    </w:p>
    <w:p>
      <w:pPr>
        <w:pStyle w:val="BodyText"/>
      </w:pPr>
      <w:r>
        <w:t xml:space="preserve">На втором рисунке представлены оба графика функций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30" w:name="fig:002"/>
      <w:r>
        <w:drawing>
          <wp:inline>
            <wp:extent cx="5334000" cy="3997731"/>
            <wp:effectExtent b="0" l="0" r="0" t="0"/>
            <wp:docPr descr="Рис. 2: 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plot-sin-c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Графики функций y1 и y2</w:t>
      </w:r>
    </w:p>
    <w:bookmarkEnd w:id="31"/>
    <w:bookmarkEnd w:id="32"/>
    <w:bookmarkStart w:id="43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Разложение импульсного сигнала в частичный ряд Фурье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  <w:t xml:space="preserve">Постановка задачи</w:t>
      </w:r>
    </w:p>
    <w:p>
      <w:pPr>
        <w:pStyle w:val="FirstParagraph"/>
      </w:pPr>
      <w:r>
        <w:t xml:space="preserve">Требуется построить набор графиков приближений меандра при увеличении числа нечётных гармоник. Рассматриваются два варианта разложения: через cos-ряд и через sin-ряд.</w:t>
      </w:r>
    </w:p>
    <w:bookmarkEnd w:id="33"/>
    <w:bookmarkStart w:id="34" w:name="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  <w:t xml:space="preserve">Параметры моделирования</w:t>
      </w:r>
    </w:p>
    <w:p>
      <w:pPr>
        <w:numPr>
          <w:ilvl w:val="0"/>
          <w:numId w:val="1001"/>
        </w:numPr>
        <w:pStyle w:val="Compact"/>
      </w:pPr>
      <w:r>
        <w:t xml:space="preserve">число используемых гармоник: 8</w:t>
        <w:br/>
      </w:r>
    </w:p>
    <w:p>
      <w:pPr>
        <w:numPr>
          <w:ilvl w:val="0"/>
          <w:numId w:val="1001"/>
        </w:numPr>
        <w:pStyle w:val="Compact"/>
      </w:pPr>
      <w:r>
        <w:t xml:space="preserve">временной интервал: от -1 до 1 с шагом 0.01</w:t>
        <w:br/>
      </w:r>
    </w:p>
    <w:p>
      <w:pPr>
        <w:numPr>
          <w:ilvl w:val="0"/>
          <w:numId w:val="1001"/>
        </w:numPr>
        <w:pStyle w:val="Compact"/>
      </w:pPr>
      <w:r>
        <w:t xml:space="preserve">амплитуда: 1</w:t>
        <w:br/>
      </w:r>
    </w:p>
    <w:p>
      <w:pPr>
        <w:numPr>
          <w:ilvl w:val="0"/>
          <w:numId w:val="1001"/>
        </w:numPr>
        <w:pStyle w:val="Compact"/>
      </w:pPr>
      <w:r>
        <w:t xml:space="preserve">период: 1</w:t>
        <w:br/>
        <w:t xml:space="preserve">В спектре меандра участвуют только нечётные гармоники, амплитуда которых обратно пропорциональна их номеру.</w:t>
      </w:r>
    </w:p>
    <w:bookmarkEnd w:id="34"/>
    <w:bookmarkStart w:id="35" w:name="ход-работы-1"/>
    <w:p>
      <w:pPr>
        <w:pStyle w:val="Heading3"/>
      </w:pPr>
      <w:r>
        <w:rPr>
          <w:rStyle w:val="SectionNumber"/>
        </w:rPr>
        <w:t xml:space="preserve">2.2.3</w:t>
      </w:r>
      <w:r>
        <w:tab/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Построены графики частичных сумм ряда Фурье, приближающих меандр, при числе гармоник от 1 до 8.</w:t>
        <w:br/>
      </w:r>
    </w:p>
    <w:p>
      <w:pPr>
        <w:numPr>
          <w:ilvl w:val="0"/>
          <w:numId w:val="1002"/>
        </w:numPr>
        <w:pStyle w:val="Compact"/>
      </w:pPr>
      <w:r>
        <w:t xml:space="preserve">Выполнено моделирование как через cos-ряд (с чередующимися знаками членов), так и через sin-ряд (с положительными членами).</w:t>
        <w:br/>
      </w:r>
    </w:p>
    <w:p>
      <w:pPr>
        <w:numPr>
          <w:ilvl w:val="0"/>
          <w:numId w:val="1002"/>
        </w:numPr>
        <w:pStyle w:val="Compact"/>
      </w:pPr>
      <w:r>
        <w:t xml:space="preserve">Каждый частичный ряд показан в отдельной ячейке окна, что позволяет наглядно видеть процесс приближения.</w:t>
        <w:br/>
      </w:r>
    </w:p>
    <w:p>
      <w:pPr>
        <w:numPr>
          <w:ilvl w:val="0"/>
          <w:numId w:val="1002"/>
        </w:numPr>
        <w:pStyle w:val="Compact"/>
      </w:pPr>
      <w:r>
        <w:t xml:space="preserve">Полученные графики экспортированы в формат </w:t>
      </w:r>
      <w:r>
        <w:rPr>
          <w:rStyle w:val="VerbatimChar"/>
        </w:rPr>
        <w:t xml:space="preserve">.png</w:t>
      </w:r>
      <w:r>
        <w:t xml:space="preserve">.</w:t>
      </w:r>
    </w:p>
    <w:bookmarkEnd w:id="35"/>
    <w:bookmarkStart w:id="41" w:name="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  <w:t xml:space="preserve">Результаты моделирования</w:t>
      </w:r>
    </w:p>
    <w:p>
      <w:pPr>
        <w:pStyle w:val="FirstParagraph"/>
      </w:pPr>
      <w:r>
        <w:t xml:space="preserve">Графики частичных сумм косинусного ряда:</w:t>
      </w:r>
    </w:p>
    <w:p>
      <w:pPr>
        <w:pStyle w:val="CaptionedFigure"/>
      </w:pPr>
      <w:bookmarkStart w:id="39" w:name="fig:003"/>
      <w:r>
        <w:drawing>
          <wp:inline>
            <wp:extent cx="5334000" cy="4000500"/>
            <wp:effectExtent b="0" l="0" r="0" t="0"/>
            <wp:docPr descr="Рис. 3: Меандр через cos-ряд (N=1…8)" title="" id="37" name="Picture"/>
            <a:graphic>
              <a:graphicData uri="http://schemas.openxmlformats.org/drawingml/2006/picture">
                <pic:pic>
                  <pic:nvPicPr>
                    <pic:cNvPr descr="mean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3: Меандр через cos-ряд (N=1…8)</w:t>
      </w:r>
    </w:p>
    <w:p>
      <w:pPr>
        <w:pStyle w:val="BodyText"/>
      </w:pPr>
      <w:r>
        <w:t xml:space="preserve">Графики частичных сумм синусного ряда:</w:t>
      </w:r>
    </w:p>
    <w:p>
      <w:pPr>
        <w:pStyle w:val="BodyText"/>
      </w:pPr>
      <w:bookmarkStart w:id="40" w:name="fig:004"/>
      <w:r>
        <w:t xml:space="preserve">Рис. 4: Меандр через sin-ряд (N=1…8)</w:t>
      </w:r>
      <w:bookmarkEnd w:id="40"/>
    </w:p>
    <w:bookmarkEnd w:id="41"/>
    <w:bookmarkStart w:id="42" w:name="анализ-результатов"/>
    <w:p>
      <w:pPr>
        <w:pStyle w:val="Heading3"/>
      </w:pPr>
      <w:r>
        <w:rPr>
          <w:rStyle w:val="SectionNumber"/>
        </w:rPr>
        <w:t xml:space="preserve">2.2.5</w:t>
      </w:r>
      <w:r>
        <w:tab/>
        <w:t xml:space="preserve">Анализ результатов</w:t>
      </w:r>
    </w:p>
    <w:p>
      <w:pPr>
        <w:numPr>
          <w:ilvl w:val="0"/>
          <w:numId w:val="1003"/>
        </w:numPr>
        <w:pStyle w:val="Compact"/>
      </w:pPr>
      <w:r>
        <w:t xml:space="preserve">При малом числе гармоник сигнал имеет плавную форму и плохо напоминает меандр.</w:t>
        <w:br/>
      </w:r>
    </w:p>
    <w:p>
      <w:pPr>
        <w:numPr>
          <w:ilvl w:val="0"/>
          <w:numId w:val="1003"/>
        </w:numPr>
        <w:pStyle w:val="Compact"/>
      </w:pPr>
      <w:r>
        <w:t xml:space="preserve">С увеличением количества гармоник фронты становятся более крутыми, форма сигнала всё ближе к прямоугольной.</w:t>
        <w:br/>
      </w:r>
    </w:p>
    <w:p>
      <w:pPr>
        <w:numPr>
          <w:ilvl w:val="0"/>
          <w:numId w:val="1003"/>
        </w:numPr>
        <w:pStyle w:val="Compact"/>
      </w:pPr>
      <w:r>
        <w:t xml:space="preserve">Вблизи разрывов наблюдаются колебания (эффект Гиббса), которые сохраняются при любом числе гармоник, но их ширина уменьшается.</w:t>
        <w:br/>
      </w:r>
    </w:p>
    <w:p>
      <w:pPr>
        <w:numPr>
          <w:ilvl w:val="0"/>
          <w:numId w:val="1003"/>
        </w:numPr>
        <w:pStyle w:val="Compact"/>
      </w:pPr>
      <w:r>
        <w:t xml:space="preserve">Cos- и sin-разложения дают эквивалентное приближение меандра при одинаковом числе гармоник.</w:t>
      </w:r>
    </w:p>
    <w:bookmarkEnd w:id="42"/>
    <w:bookmarkEnd w:id="43"/>
    <w:bookmarkStart w:id="68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Определение спектра и параметров сигнала</w:t>
      </w:r>
    </w:p>
    <w:bookmarkStart w:id="44" w:name="постановка-задачи-2"/>
    <w:p>
      <w:pPr>
        <w:pStyle w:val="Heading3"/>
      </w:pPr>
      <w:r>
        <w:rPr>
          <w:rStyle w:val="SectionNumber"/>
        </w:rPr>
        <w:t xml:space="preserve">2.3.1</w:t>
      </w:r>
      <w:r>
        <w:tab/>
        <w:t xml:space="preserve">Постановка задачи</w:t>
      </w:r>
    </w:p>
    <w:p>
      <w:pPr>
        <w:pStyle w:val="FirstParagraph"/>
      </w:pPr>
      <w:r>
        <w:t xml:space="preserve">Необходимо определить спектры двух отдельных сигналов (синусоидальных колебаний различной частоты) и их суммы. Также требуется рассмотреть случай изменения частоты дискретизации и объяснить, что произойдёт при её уменьшении ниже 80 Гц.</w:t>
      </w:r>
    </w:p>
    <w:bookmarkEnd w:id="44"/>
    <w:bookmarkStart w:id="45" w:name="ход-работы-2"/>
    <w:p>
      <w:pPr>
        <w:pStyle w:val="Heading3"/>
      </w:pPr>
      <w:r>
        <w:rPr>
          <w:rStyle w:val="SectionNumber"/>
        </w:rPr>
        <w:t xml:space="preserve">2.3.2</w:t>
      </w:r>
      <w:r>
        <w:tab/>
        <w:t xml:space="preserve">Ход работы</w:t>
      </w:r>
    </w:p>
    <w:p>
      <w:pPr>
        <w:numPr>
          <w:ilvl w:val="0"/>
          <w:numId w:val="1004"/>
        </w:numPr>
        <w:pStyle w:val="Compact"/>
      </w:pPr>
      <w:r>
        <w:t xml:space="preserve">В каталоге </w:t>
      </w:r>
      <w:r>
        <w:rPr>
          <w:rStyle w:val="VerbatimChar"/>
        </w:rPr>
        <w:t xml:space="preserve">spectre1</w:t>
      </w:r>
      <w:r>
        <w:t xml:space="preserve"> заданы параметры: длительность сигнала 0.5 с, частота дискретизации 512 Гц, частоты сигналов 10 Гц и 40 Гц, амплитуды 1 и 0.7.</w:t>
        <w:br/>
      </w:r>
    </w:p>
    <w:p>
      <w:pPr>
        <w:numPr>
          <w:ilvl w:val="0"/>
          <w:numId w:val="1004"/>
        </w:numPr>
        <w:pStyle w:val="Compact"/>
      </w:pPr>
      <w:r>
        <w:t xml:space="preserve">Сформированы два синусоидальных сигнала:</w:t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4"/>
        </w:numPr>
        <w:pStyle w:val="Compact"/>
      </w:pPr>
      <w:r>
        <w:t xml:space="preserve">Построены графики сигналов и их спектров с использованием БПФ.</w:t>
        <w:br/>
      </w:r>
    </w:p>
    <w:p>
      <w:pPr>
        <w:numPr>
          <w:ilvl w:val="0"/>
          <w:numId w:val="1004"/>
        </w:numPr>
        <w:pStyle w:val="Compact"/>
      </w:pPr>
      <w:r>
        <w:t xml:space="preserve">Выполнена корректировка спектров: удалены отрицательные частоты, произведена нормировка амплитуд.</w:t>
        <w:br/>
      </w:r>
    </w:p>
    <w:p>
      <w:pPr>
        <w:numPr>
          <w:ilvl w:val="0"/>
          <w:numId w:val="1004"/>
        </w:numPr>
        <w:pStyle w:val="Compact"/>
      </w:pPr>
      <w:r>
        <w:t xml:space="preserve">В каталоге </w:t>
      </w:r>
      <w:r>
        <w:rPr>
          <w:rStyle w:val="VerbatimChar"/>
        </w:rPr>
        <w:t xml:space="preserve">spectre_sum</w:t>
      </w:r>
      <w:r>
        <w:t xml:space="preserve"> построен суммарный сигнал и найден его спектр.</w:t>
      </w:r>
    </w:p>
    <w:bookmarkEnd w:id="45"/>
    <w:bookmarkStart w:id="66" w:name="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  <w:t xml:space="preserve">Результаты</w:t>
      </w:r>
    </w:p>
    <w:p>
      <w:pPr>
        <w:pStyle w:val="FirstParagraph"/>
      </w:pPr>
      <w:r>
        <w:t xml:space="preserve">График двух исходных сигналов:</w:t>
      </w:r>
    </w:p>
    <w:p>
      <w:pPr>
        <w:pStyle w:val="CaptionedFigure"/>
      </w:pPr>
      <w:bookmarkStart w:id="49" w:name="fig:005"/>
      <w:r>
        <w:drawing>
          <wp:inline>
            <wp:extent cx="5334000" cy="4000500"/>
            <wp:effectExtent b="0" l="0" r="0" t="0"/>
            <wp:docPr descr="Рис. 5: Два синусоидальных сигнала" title="" id="47" name="Picture"/>
            <a:graphic>
              <a:graphicData uri="http://schemas.openxmlformats.org/drawingml/2006/picture">
                <pic:pic>
                  <pic:nvPicPr>
                    <pic:cNvPr descr="spectre1/signal/spect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5: Два синусоидальных сигнала</w:t>
      </w:r>
    </w:p>
    <w:p>
      <w:pPr>
        <w:pStyle w:val="BodyText"/>
      </w:pPr>
      <w:r>
        <w:t xml:space="preserve">Спектры сигналов до исправления:</w:t>
      </w:r>
    </w:p>
    <w:p>
      <w:pPr>
        <w:pStyle w:val="CaptionedFigure"/>
      </w:pPr>
      <w:bookmarkStart w:id="53" w:name="fig:006"/>
      <w:r>
        <w:drawing>
          <wp:inline>
            <wp:extent cx="5334000" cy="3997731"/>
            <wp:effectExtent b="0" l="0" r="0" t="0"/>
            <wp:docPr descr="Рис. 6: Спектры сигналов" title="" id="51" name="Picture"/>
            <a:graphic>
              <a:graphicData uri="http://schemas.openxmlformats.org/drawingml/2006/picture">
                <pic:pic>
                  <pic:nvPicPr>
                    <pic:cNvPr descr="spectre1/spectre/spectr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6: Спектры сигналов</w:t>
      </w:r>
    </w:p>
    <w:p>
      <w:pPr>
        <w:pStyle w:val="BodyText"/>
      </w:pPr>
      <w:r>
        <w:t xml:space="preserve">Исправленные спектры сигналов:</w:t>
      </w:r>
    </w:p>
    <w:p>
      <w:pPr>
        <w:pStyle w:val="CaptionedFigure"/>
      </w:pPr>
      <w:bookmarkStart w:id="57" w:name="fig:007"/>
      <w:r>
        <w:drawing>
          <wp:inline>
            <wp:extent cx="5334000" cy="3997731"/>
            <wp:effectExtent b="0" l="0" r="0" t="0"/>
            <wp:docPr descr="Рис. 7: Исправленный спектр" title="" id="55" name="Picture"/>
            <a:graphic>
              <a:graphicData uri="http://schemas.openxmlformats.org/drawingml/2006/picture">
                <pic:pic>
                  <pic:nvPicPr>
                    <pic:cNvPr descr="spectre1/spectre/spectre_fi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Исправленный спектр</w:t>
      </w:r>
    </w:p>
    <w:p>
      <w:pPr>
        <w:pStyle w:val="BodyText"/>
      </w:pPr>
      <w:r>
        <w:t xml:space="preserve">Суммарный сигнал:</w:t>
      </w:r>
    </w:p>
    <w:p>
      <w:pPr>
        <w:pStyle w:val="CaptionedFigure"/>
      </w:pPr>
      <w:bookmarkStart w:id="61" w:name="fig:008"/>
      <w:r>
        <w:drawing>
          <wp:inline>
            <wp:extent cx="5334000" cy="4000500"/>
            <wp:effectExtent b="0" l="0" r="0" t="0"/>
            <wp:docPr descr="Рис. 8: Суммарный сигнал" title="" id="59" name="Picture"/>
            <a:graphic>
              <a:graphicData uri="http://schemas.openxmlformats.org/drawingml/2006/picture">
                <pic:pic>
                  <pic:nvPicPr>
                    <pic:cNvPr descr="spectr_sum/signal/spectre_su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Суммарный сигнал</w:t>
      </w:r>
    </w:p>
    <w:p>
      <w:pPr>
        <w:pStyle w:val="BodyText"/>
      </w:pPr>
      <w:r>
        <w:t xml:space="preserve">Спектр суммарного сигнала:</w:t>
      </w:r>
    </w:p>
    <w:p>
      <w:pPr>
        <w:pStyle w:val="CaptionedFigure"/>
      </w:pPr>
      <w:bookmarkStart w:id="65" w:name="fig:009"/>
      <w:r>
        <w:drawing>
          <wp:inline>
            <wp:extent cx="5334000" cy="3997731"/>
            <wp:effectExtent b="0" l="0" r="0" t="0"/>
            <wp:docPr descr="Рис. 9: Спектр суммы" title="" id="63" name="Picture"/>
            <a:graphic>
              <a:graphicData uri="http://schemas.openxmlformats.org/drawingml/2006/picture">
                <pic:pic>
                  <pic:nvPicPr>
                    <pic:cNvPr descr="spectr_sum/spectre/spectre_sum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Спектр суммы</w:t>
      </w:r>
    </w:p>
    <w:bookmarkEnd w:id="66"/>
    <w:bookmarkStart w:id="67" w:name="анализ-и-выводы"/>
    <w:p>
      <w:pPr>
        <w:pStyle w:val="Heading3"/>
      </w:pPr>
      <w:r>
        <w:rPr>
          <w:rStyle w:val="SectionNumber"/>
        </w:rPr>
        <w:t xml:space="preserve">2.3.4</w:t>
      </w:r>
      <w:r>
        <w:tab/>
        <w:t xml:space="preserve">Анализ и выводы</w:t>
      </w:r>
    </w:p>
    <w:p>
      <w:pPr>
        <w:numPr>
          <w:ilvl w:val="0"/>
          <w:numId w:val="1005"/>
        </w:numPr>
        <w:pStyle w:val="Compact"/>
      </w:pPr>
      <w:r>
        <w:t xml:space="preserve">При дискретизации 512 Гц сигналы с частотами 10 Гц и 40 Гц корректно отображаются, спектры чётко выделены.</w:t>
        <w:br/>
      </w:r>
    </w:p>
    <w:p>
      <w:pPr>
        <w:numPr>
          <w:ilvl w:val="0"/>
          <w:numId w:val="1005"/>
        </w:numPr>
        <w:pStyle w:val="Compact"/>
      </w:pPr>
      <w:r>
        <w:t xml:space="preserve">Спектр суммы сигналов совпадает с суммой отдельных спектров, что подтверждает свойства преобразования Фурье.</w:t>
        <w:br/>
      </w:r>
    </w:p>
    <w:p>
      <w:pPr>
        <w:numPr>
          <w:ilvl w:val="0"/>
          <w:numId w:val="1005"/>
        </w:numPr>
        <w:pStyle w:val="Compact"/>
      </w:pPr>
      <w:r>
        <w:t xml:space="preserve">Если частота дискретизации будет меньше 80 Гц, то сигнал с частотой 40 Гц не сможет корректно отобразиться: произойдёт наложение спектров (алиасинг), что приведёт к искажению сигнала.</w:t>
        <w:br/>
      </w:r>
    </w:p>
    <w:p>
      <w:pPr>
        <w:numPr>
          <w:ilvl w:val="0"/>
          <w:numId w:val="1005"/>
        </w:numPr>
        <w:pStyle w:val="Compact"/>
      </w:pPr>
      <w:r>
        <w:t xml:space="preserve">Для корректного представления сигнала частота дискретизации должна быть как минимум в два раза выше максимальной частоты спектра (критерий Найквиста–Котельникова).</w:t>
      </w:r>
    </w:p>
    <w:bookmarkEnd w:id="67"/>
    <w:bookmarkEnd w:id="68"/>
    <w:bookmarkStart w:id="81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Амплитудная модуляция</w:t>
      </w:r>
    </w:p>
    <w:bookmarkStart w:id="69" w:name="постановка-задачи-3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Постановка задачи</w:t>
      </w:r>
    </w:p>
    <w:p>
      <w:pPr>
        <w:pStyle w:val="FirstParagraph"/>
      </w:pPr>
      <w:r>
        <w:t xml:space="preserve">Необходимо продемонстрировать принципы амплитудной модуляции (АМ) на примере модуляции низкочастотного сигнала синусоидой высокой частоты и исследовать спектр полученного сигнала.</w:t>
      </w:r>
    </w:p>
    <w:bookmarkEnd w:id="69"/>
    <w:bookmarkStart w:id="70" w:name="ход-работы-3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Ход работы</w:t>
      </w:r>
    </w:p>
    <w:p>
      <w:pPr>
        <w:numPr>
          <w:ilvl w:val="0"/>
          <w:numId w:val="1006"/>
        </w:numPr>
      </w:pPr>
      <w:r>
        <w:t xml:space="preserve">В рабочем каталоге создан сценарий </w:t>
      </w:r>
      <w:r>
        <w:rPr>
          <w:rStyle w:val="VerbatimChar"/>
        </w:rPr>
        <w:t xml:space="preserve">am.m</w:t>
      </w:r>
      <w:r>
        <w:t xml:space="preserve"> и заданы параметры моделирования:</w:t>
      </w:r>
    </w:p>
    <w:p>
      <w:pPr>
        <w:numPr>
          <w:ilvl w:val="1"/>
          <w:numId w:val="1007"/>
        </w:numPr>
        <w:pStyle w:val="Compact"/>
      </w:pPr>
      <w:r>
        <w:t xml:space="preserve">длительность сигнала: 0.5 с,</w:t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дискретизации: 512 Гц,</w:t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модулирующего сигнала: 5 Гц,</w:t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несущей: 50 Гц.</w:t>
      </w:r>
    </w:p>
    <w:p>
      <w:pPr>
        <w:numPr>
          <w:ilvl w:val="0"/>
          <w:numId w:val="1006"/>
        </w:numPr>
      </w:pPr>
      <w:r>
        <w:t xml:space="preserve">Сформированы сигналы:</w:t>
      </w:r>
    </w:p>
    <w:p>
      <w:pPr>
        <w:numPr>
          <w:ilvl w:val="1"/>
          <w:numId w:val="1008"/>
        </w:numPr>
        <w:pStyle w:val="Compact"/>
      </w:pPr>
      <w:r>
        <w:t xml:space="preserve">модулирующий сигнал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=sin</m:t>
          </m:r>
          <m:d>
            <m:dPr>
              <m:begChr m:val="("/>
              <m:endChr m:val=")"/>
              <m:sepChr m:val=""/>
              <m:grow/>
            </m:dPr>
            <m:e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  <w:br/>
      </w:r>
    </w:p>
    <w:p>
      <w:pPr>
        <w:numPr>
          <w:ilvl w:val="1"/>
          <w:numId w:val="1008"/>
        </w:numPr>
        <w:pStyle w:val="Compact"/>
      </w:pPr>
      <w:r>
        <w:t xml:space="preserve">несущая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=sin</m:t>
          </m:r>
          <m:d>
            <m:dPr>
              <m:begChr m:val="("/>
              <m:endChr m:val=")"/>
              <m:sepChr m:val=""/>
              <m:grow/>
            </m:dPr>
            <m:e>
              <m:r>
                <m:t>2π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  <w:br/>
      </w:r>
    </w:p>
    <w:p>
      <w:pPr>
        <w:numPr>
          <w:ilvl w:val="1"/>
          <w:numId w:val="1008"/>
        </w:numPr>
        <w:pStyle w:val="Compact"/>
      </w:pPr>
      <w:r>
        <w:t xml:space="preserve">амплитудно-модулированный сигнал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.</w:t>
      </w:r>
    </w:p>
    <w:p>
      <w:pPr>
        <w:numPr>
          <w:ilvl w:val="0"/>
          <w:numId w:val="1006"/>
        </w:numPr>
      </w:pPr>
      <w:r>
        <w:t xml:space="preserve">Построен график модулированного сигнала вместе с огибающей.</w:t>
      </w:r>
    </w:p>
    <w:p>
      <w:pPr>
        <w:numPr>
          <w:ilvl w:val="0"/>
          <w:numId w:val="1006"/>
        </w:numPr>
      </w:pPr>
      <w:r>
        <w:t xml:space="preserve">С помощью быстрого преобразования Фурье рассчитан спектр модулированного сигнала.</w:t>
      </w:r>
    </w:p>
    <w:bookmarkEnd w:id="70"/>
    <w:bookmarkStart w:id="79" w:name="результаты-1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Результаты</w:t>
      </w:r>
    </w:p>
    <w:p>
      <w:pPr>
        <w:pStyle w:val="FirstParagraph"/>
      </w:pPr>
      <w:r>
        <w:t xml:space="preserve">График амплитудно-модулированного сигнала с огибающей:</w:t>
      </w:r>
    </w:p>
    <w:p>
      <w:pPr>
        <w:pStyle w:val="CaptionedFigure"/>
      </w:pPr>
      <w:bookmarkStart w:id="74" w:name="fig:010"/>
      <w:r>
        <w:drawing>
          <wp:inline>
            <wp:extent cx="5334000" cy="4000500"/>
            <wp:effectExtent b="0" l="0" r="0" t="0"/>
            <wp:docPr descr="Рис. 10: АМ-сигнал и огибающая" title="" id="72" name="Picture"/>
            <a:graphic>
              <a:graphicData uri="http://schemas.openxmlformats.org/drawingml/2006/picture">
                <pic:pic>
                  <pic:nvPicPr>
                    <pic:cNvPr descr="modulation/signal/a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10: АМ-сигнал и огибающая</w:t>
      </w:r>
    </w:p>
    <w:p>
      <w:pPr>
        <w:pStyle w:val="BodyText"/>
      </w:pPr>
      <w:r>
        <w:t xml:space="preserve">Спектр амплитудно-модулированного сигнала:</w:t>
      </w:r>
    </w:p>
    <w:p>
      <w:pPr>
        <w:pStyle w:val="CaptionedFigure"/>
      </w:pPr>
      <w:bookmarkStart w:id="78" w:name="fig:011"/>
      <w:r>
        <w:drawing>
          <wp:inline>
            <wp:extent cx="5334000" cy="3997731"/>
            <wp:effectExtent b="0" l="0" r="0" t="0"/>
            <wp:docPr descr="Рис. 11: Спектр АМ-сигнала" title="" id="76" name="Picture"/>
            <a:graphic>
              <a:graphicData uri="http://schemas.openxmlformats.org/drawingml/2006/picture">
                <pic:pic>
                  <pic:nvPicPr>
                    <pic:cNvPr descr="modulation/spectre/am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11: Спектр АМ-сигнала</w:t>
      </w:r>
    </w:p>
    <w:bookmarkEnd w:id="79"/>
    <w:bookmarkStart w:id="80" w:name="анализ-и-выводы-1"/>
    <w:p>
      <w:pPr>
        <w:pStyle w:val="Heading3"/>
      </w:pPr>
      <w:r>
        <w:rPr>
          <w:rStyle w:val="SectionNumber"/>
        </w:rPr>
        <w:t xml:space="preserve">2.4.4</w:t>
      </w:r>
      <w:r>
        <w:tab/>
        <w:t xml:space="preserve">Анализ и выводы</w:t>
      </w:r>
    </w:p>
    <w:p>
      <w:pPr>
        <w:numPr>
          <w:ilvl w:val="0"/>
          <w:numId w:val="1009"/>
        </w:numPr>
        <w:pStyle w:val="Compact"/>
      </w:pPr>
      <w:r>
        <w:t xml:space="preserve">Амплитудная модуляция заключается в изменении амплитуды высокочастотной несущей в зависимости от низкочастотного модулирующего сигнала.</w:t>
        <w:br/>
      </w:r>
    </w:p>
    <w:p>
      <w:pPr>
        <w:numPr>
          <w:ilvl w:val="0"/>
          <w:numId w:val="1009"/>
        </w:numPr>
        <w:pStyle w:val="Compact"/>
      </w:pPr>
      <w:r>
        <w:t xml:space="preserve">На графике чётко видна огибающая, совпадающая с модулирующим сигналом.</w:t>
        <w:br/>
      </w:r>
    </w:p>
    <w:p>
      <w:pPr>
        <w:numPr>
          <w:ilvl w:val="0"/>
          <w:numId w:val="1009"/>
        </w:numPr>
        <w:pStyle w:val="Compact"/>
      </w:pPr>
      <w:r>
        <w:t xml:space="preserve">Спектр модулированного сигнала состоит из центральной частоты (несущей) и двух боковых полос, расположенных симметрично относительно несущей на расстоянии частоты модуляции.</w:t>
        <w:br/>
      </w:r>
    </w:p>
    <w:p>
      <w:pPr>
        <w:numPr>
          <w:ilvl w:val="0"/>
          <w:numId w:val="1009"/>
        </w:numPr>
        <w:pStyle w:val="Compact"/>
      </w:pPr>
      <w:r>
        <w:t xml:space="preserve">Полученные результаты подтверждают принцип свёртки спектров при умножении сигналов во временной области.</w:t>
      </w:r>
    </w:p>
    <w:bookmarkEnd w:id="80"/>
    <w:bookmarkEnd w:id="81"/>
    <w:bookmarkStart w:id="159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Кодирование сигнала и исследование самосинхронизации</w:t>
      </w:r>
    </w:p>
    <w:bookmarkStart w:id="82" w:name="постановка-задачи-4"/>
    <w:p>
      <w:pPr>
        <w:pStyle w:val="Heading3"/>
      </w:pPr>
      <w:r>
        <w:rPr>
          <w:rStyle w:val="SectionNumber"/>
        </w:rPr>
        <w:t xml:space="preserve">2.5.1</w:t>
      </w:r>
      <w:r>
        <w:tab/>
        <w:t xml:space="preserve">Постановка задачи</w:t>
      </w:r>
    </w:p>
    <w:p>
      <w:pPr>
        <w:pStyle w:val="FirstParagraph"/>
      </w:pPr>
      <w:r>
        <w:t xml:space="preserve">Сформировать кодированные сигналы по заданным битовым последовательностям для нескольких линийных кодов. Проверить самосинхронизацию на длинных сериях одинаковых символов. Построить спектры сигналов и сравнить энергетическое распределение.</w:t>
      </w:r>
    </w:p>
    <w:bookmarkEnd w:id="82"/>
    <w:bookmarkStart w:id="83" w:name="ход-работы-4"/>
    <w:p>
      <w:pPr>
        <w:pStyle w:val="Heading3"/>
      </w:pPr>
      <w:r>
        <w:rPr>
          <w:rStyle w:val="SectionNumber"/>
        </w:rPr>
        <w:t xml:space="preserve">2.5.2</w:t>
      </w:r>
      <w:r>
        <w:tab/>
        <w:t xml:space="preserve">Ход работы</w:t>
      </w:r>
    </w:p>
    <w:p>
      <w:pPr>
        <w:numPr>
          <w:ilvl w:val="0"/>
          <w:numId w:val="1010"/>
        </w:numPr>
        <w:pStyle w:val="Compact"/>
      </w:pPr>
      <w:r>
        <w:t xml:space="preserve">Подготовлены три наборa данных: основная последовательность для визуализации формы сигнала; последовательность для проверки самосинхронизации с длинными сериями нулей/единиц; последовательность для расчёта спектров.</w:t>
      </w:r>
    </w:p>
    <w:p>
      <w:pPr>
        <w:numPr>
          <w:ilvl w:val="0"/>
          <w:numId w:val="1010"/>
        </w:numPr>
        <w:pStyle w:val="Compact"/>
      </w:pPr>
      <w:r>
        <w:t xml:space="preserve">Для каждого кода получены три вида результатов: форма сигнала, иллюстрация самосинхронизации, амплитудный спектр.</w:t>
      </w:r>
    </w:p>
    <w:p>
      <w:pPr>
        <w:numPr>
          <w:ilvl w:val="0"/>
          <w:numId w:val="1010"/>
        </w:numPr>
        <w:pStyle w:val="Compact"/>
      </w:pPr>
      <w:r>
        <w:t xml:space="preserve">Рассмотренные коды: Unipolar, AMI, Bipolar NRZ, Bipolar RZ, Manchester, Differential Manchester.</w:t>
      </w:r>
    </w:p>
    <w:bookmarkEnd w:id="83"/>
    <w:bookmarkStart w:id="107" w:name="Xe9e4a5272a235b85be1204504afc30e98bbcb61"/>
    <w:p>
      <w:pPr>
        <w:pStyle w:val="Heading3"/>
      </w:pPr>
      <w:r>
        <w:rPr>
          <w:rStyle w:val="SectionNumber"/>
        </w:rPr>
        <w:t xml:space="preserve">2.5.3</w:t>
      </w:r>
      <w:r>
        <w:tab/>
        <w:t xml:space="preserve">Результаты: формы сигналов (основная последовательность)</w:t>
      </w:r>
    </w:p>
    <w:p>
      <w:pPr>
        <w:pStyle w:val="FirstParagraph"/>
      </w:pPr>
      <w:r>
        <w:t xml:space="preserve">Unipolar</w:t>
        <w:br/>
      </w:r>
      <w:bookmarkStart w:id="87" w:name="fig:012"/>
      <w:r>
        <w:drawing>
          <wp:inline>
            <wp:extent cx="5334000" cy="4000500"/>
            <wp:effectExtent b="0" l="0" r="0" t="0"/>
            <wp:docPr descr="Unipolar (сигнал)" title="" id="85" name="Picture"/>
            <a:graphic>
              <a:graphicData uri="http://schemas.openxmlformats.org/drawingml/2006/picture">
                <pic:pic>
                  <pic:nvPicPr>
                    <pic:cNvPr descr="coding/signal/unipola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BodyText"/>
      </w:pPr>
      <w:r>
        <w:t xml:space="preserve">AMI</w:t>
        <w:br/>
      </w:r>
      <w:bookmarkStart w:id="91" w:name="fig:013"/>
      <w:r>
        <w:drawing>
          <wp:inline>
            <wp:extent cx="5334000" cy="3997731"/>
            <wp:effectExtent b="0" l="0" r="0" t="0"/>
            <wp:docPr descr="AMI (сигнал)" title="" id="89" name="Picture"/>
            <a:graphic>
              <a:graphicData uri="http://schemas.openxmlformats.org/drawingml/2006/picture">
                <pic:pic>
                  <pic:nvPicPr>
                    <pic:cNvPr descr="coding/signal/ami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t xml:space="preserve">Bipolar NRZ</w:t>
        <w:br/>
        <w:drawing>
          <wp:inline>
            <wp:extent cx="5334000" cy="3997731"/>
            <wp:effectExtent b="0" l="0" r="0" t="0"/>
            <wp:docPr descr="Bipolar NRZ (сигнал)" title="" id="93" name="Picture"/>
            <a:graphic>
              <a:graphicData uri="http://schemas.openxmlformats.org/drawingml/2006/picture">
                <pic:pic>
                  <pic:nvPicPr>
                    <pic:cNvPr descr="coding/signal/bipolarnrz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{ #fig:014 width=80%</w:t>
      </w:r>
    </w:p>
    <w:p>
      <w:pPr>
        <w:pStyle w:val="BodyText"/>
      </w:pPr>
      <w:r>
        <w:t xml:space="preserve">Bipolar RZ</w:t>
        <w:br/>
      </w:r>
      <w:bookmarkStart w:id="98" w:name="fig:015"/>
      <w:r>
        <w:drawing>
          <wp:inline>
            <wp:extent cx="5334000" cy="3997731"/>
            <wp:effectExtent b="0" l="0" r="0" t="0"/>
            <wp:docPr descr="Bipolar RZ (сигнал)" title="" id="96" name="Picture"/>
            <a:graphic>
              <a:graphicData uri="http://schemas.openxmlformats.org/drawingml/2006/picture">
                <pic:pic>
                  <pic:nvPicPr>
                    <pic:cNvPr descr="coding/signal/bipolarrz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BodyText"/>
      </w:pPr>
      <w:r>
        <w:t xml:space="preserve">Manchester</w:t>
        <w:br/>
      </w:r>
      <w:bookmarkStart w:id="102" w:name="fig:016"/>
      <w:r>
        <w:drawing>
          <wp:inline>
            <wp:extent cx="5334000" cy="3997731"/>
            <wp:effectExtent b="0" l="0" r="0" t="0"/>
            <wp:docPr descr="Manchester (сигнал)" title="" id="100" name="Picture"/>
            <a:graphic>
              <a:graphicData uri="http://schemas.openxmlformats.org/drawingml/2006/picture">
                <pic:pic>
                  <pic:nvPicPr>
                    <pic:cNvPr descr="coding/signal/manchester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BodyText"/>
      </w:pPr>
      <w:r>
        <w:t xml:space="preserve">Differential Manchester</w:t>
        <w:br/>
      </w:r>
      <w:bookmarkStart w:id="106" w:name="fig:017"/>
      <w:r>
        <w:drawing>
          <wp:inline>
            <wp:extent cx="5334000" cy="3997731"/>
            <wp:effectExtent b="0" l="0" r="0" t="0"/>
            <wp:docPr descr="Differential Manchester (сигнал)" title="" id="104" name="Picture"/>
            <a:graphic>
              <a:graphicData uri="http://schemas.openxmlformats.org/drawingml/2006/picture">
                <pic:pic>
                  <pic:nvPicPr>
                    <pic:cNvPr descr="coding/signal/diffmanc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bookmarkEnd w:id="107"/>
    <w:bookmarkStart w:id="132" w:name="X1f7effd2bc5b613de6445457312fb79e8e1c1e9"/>
    <w:p>
      <w:pPr>
        <w:pStyle w:val="Heading3"/>
      </w:pPr>
      <w:r>
        <w:rPr>
          <w:rStyle w:val="SectionNumber"/>
        </w:rPr>
        <w:t xml:space="preserve">2.5.4</w:t>
      </w:r>
      <w:r>
        <w:tab/>
        <w:t xml:space="preserve">Результаты: самосинхронизация (длинные серии)</w:t>
      </w:r>
    </w:p>
    <w:p>
      <w:pPr>
        <w:pStyle w:val="FirstParagraph"/>
      </w:pPr>
      <w:r>
        <w:t xml:space="preserve">Unipolar</w:t>
        <w:br/>
      </w:r>
      <w:bookmarkStart w:id="111" w:name="fig:018"/>
      <w:r>
        <w:drawing>
          <wp:inline>
            <wp:extent cx="5334000" cy="3997731"/>
            <wp:effectExtent b="0" l="0" r="0" t="0"/>
            <wp:docPr descr="Unipolar (sync)" title="" id="109" name="Picture"/>
            <a:graphic>
              <a:graphicData uri="http://schemas.openxmlformats.org/drawingml/2006/picture">
                <pic:pic>
                  <pic:nvPicPr>
                    <pic:cNvPr descr="coding/sync/unipola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BodyText"/>
      </w:pPr>
      <w:r>
        <w:t xml:space="preserve">AMI</w:t>
        <w:br/>
      </w:r>
      <w:bookmarkStart w:id="115" w:name="fig:019"/>
      <w:r>
        <w:drawing>
          <wp:inline>
            <wp:extent cx="5334000" cy="3997731"/>
            <wp:effectExtent b="0" l="0" r="0" t="0"/>
            <wp:docPr descr="AMI (sync)" title="" id="113" name="Picture"/>
            <a:graphic>
              <a:graphicData uri="http://schemas.openxmlformats.org/drawingml/2006/picture">
                <pic:pic>
                  <pic:nvPicPr>
                    <pic:cNvPr descr="coding/sync/ami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BodyText"/>
      </w:pPr>
      <w:r>
        <w:t xml:space="preserve">Bipolar NRZ</w:t>
        <w:br/>
      </w:r>
      <w:bookmarkStart w:id="119" w:name="fig:020"/>
      <w:r>
        <w:drawing>
          <wp:inline>
            <wp:extent cx="5334000" cy="3997731"/>
            <wp:effectExtent b="0" l="0" r="0" t="0"/>
            <wp:docPr descr="Bipolar NRZ (sync)" title="" id="117" name="Picture"/>
            <a:graphic>
              <a:graphicData uri="http://schemas.openxmlformats.org/drawingml/2006/picture">
                <pic:pic>
                  <pic:nvPicPr>
                    <pic:cNvPr descr="coding/sync/bipolarnrz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BodyText"/>
      </w:pPr>
      <w:r>
        <w:t xml:space="preserve">Bipolar RZ</w:t>
        <w:br/>
      </w:r>
      <w:bookmarkStart w:id="123" w:name="fig:021"/>
      <w:r>
        <w:drawing>
          <wp:inline>
            <wp:extent cx="5334000" cy="3997731"/>
            <wp:effectExtent b="0" l="0" r="0" t="0"/>
            <wp:docPr descr="Bipolar RZ (sync)" title="" id="121" name="Picture"/>
            <a:graphic>
              <a:graphicData uri="http://schemas.openxmlformats.org/drawingml/2006/picture">
                <pic:pic>
                  <pic:nvPicPr>
                    <pic:cNvPr descr="coding/sync/bipolarrz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BodyText"/>
      </w:pPr>
      <w:r>
        <w:t xml:space="preserve">Manchester</w:t>
        <w:br/>
      </w:r>
      <w:bookmarkStart w:id="127" w:name="fig:022"/>
      <w:r>
        <w:drawing>
          <wp:inline>
            <wp:extent cx="5334000" cy="3997731"/>
            <wp:effectExtent b="0" l="0" r="0" t="0"/>
            <wp:docPr descr="Manchester (sync)" title="" id="125" name="Picture"/>
            <a:graphic>
              <a:graphicData uri="http://schemas.openxmlformats.org/drawingml/2006/picture">
                <pic:pic>
                  <pic:nvPicPr>
                    <pic:cNvPr descr="coding/sync/mancheste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BodyText"/>
      </w:pPr>
      <w:r>
        <w:t xml:space="preserve">Differential Manchester</w:t>
        <w:br/>
      </w:r>
      <w:bookmarkStart w:id="131" w:name="fig:023"/>
      <w:r>
        <w:drawing>
          <wp:inline>
            <wp:extent cx="5334000" cy="3997731"/>
            <wp:effectExtent b="0" l="0" r="0" t="0"/>
            <wp:docPr descr="Differential Manchester (sync)" title="" id="129" name="Picture"/>
            <a:graphic>
              <a:graphicData uri="http://schemas.openxmlformats.org/drawingml/2006/picture">
                <pic:pic>
                  <pic:nvPicPr>
                    <pic:cNvPr descr="coding/sync/diffman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bookmarkEnd w:id="132"/>
    <w:bookmarkStart w:id="157" w:name="результаты-спектры-сигналов"/>
    <w:p>
      <w:pPr>
        <w:pStyle w:val="Heading3"/>
      </w:pPr>
      <w:r>
        <w:rPr>
          <w:rStyle w:val="SectionNumber"/>
        </w:rPr>
        <w:t xml:space="preserve">2.5.5</w:t>
      </w:r>
      <w:r>
        <w:tab/>
        <w:t xml:space="preserve">Результаты: спектры сигналов</w:t>
      </w:r>
    </w:p>
    <w:p>
      <w:pPr>
        <w:pStyle w:val="FirstParagraph"/>
      </w:pPr>
      <w:r>
        <w:t xml:space="preserve">Unipolar</w:t>
        <w:br/>
      </w:r>
      <w:bookmarkStart w:id="136" w:name="fig:024"/>
      <w:r>
        <w:drawing>
          <wp:inline>
            <wp:extent cx="5334000" cy="3997731"/>
            <wp:effectExtent b="0" l="0" r="0" t="0"/>
            <wp:docPr descr="Unipolar (спектр)" title="" id="134" name="Picture"/>
            <a:graphic>
              <a:graphicData uri="http://schemas.openxmlformats.org/drawingml/2006/picture">
                <pic:pic>
                  <pic:nvPicPr>
                    <pic:cNvPr descr="coding/spectre/unipola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BodyText"/>
      </w:pPr>
      <w:r>
        <w:t xml:space="preserve">AMI</w:t>
        <w:br/>
      </w:r>
      <w:bookmarkStart w:id="140" w:name="fig:025"/>
      <w:r>
        <w:drawing>
          <wp:inline>
            <wp:extent cx="5334000" cy="3997731"/>
            <wp:effectExtent b="0" l="0" r="0" t="0"/>
            <wp:docPr descr="AMI (спектр)" title="" id="138" name="Picture"/>
            <a:graphic>
              <a:graphicData uri="http://schemas.openxmlformats.org/drawingml/2006/picture">
                <pic:pic>
                  <pic:nvPicPr>
                    <pic:cNvPr descr="coding/spectre/ami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p>
      <w:pPr>
        <w:pStyle w:val="BodyText"/>
      </w:pPr>
      <w:r>
        <w:t xml:space="preserve">Bipolar NRZ</w:t>
        <w:br/>
      </w:r>
      <w:bookmarkStart w:id="144" w:name="fig:026"/>
      <w:r>
        <w:drawing>
          <wp:inline>
            <wp:extent cx="5334000" cy="3997731"/>
            <wp:effectExtent b="0" l="0" r="0" t="0"/>
            <wp:docPr descr="Bipolar NRZ (спектр)" title="" id="142" name="Picture"/>
            <a:graphic>
              <a:graphicData uri="http://schemas.openxmlformats.org/drawingml/2006/picture">
                <pic:pic>
                  <pic:nvPicPr>
                    <pic:cNvPr descr="coding/spectre/bipolarnrz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</w:p>
    <w:p>
      <w:pPr>
        <w:pStyle w:val="BodyText"/>
      </w:pPr>
      <w:r>
        <w:t xml:space="preserve">Bipolar RZ</w:t>
        <w:br/>
      </w:r>
      <w:bookmarkStart w:id="148" w:name="fig:027"/>
      <w:r>
        <w:drawing>
          <wp:inline>
            <wp:extent cx="5334000" cy="3997731"/>
            <wp:effectExtent b="0" l="0" r="0" t="0"/>
            <wp:docPr descr="Bipolar RZ (спектр)" title="" id="146" name="Picture"/>
            <a:graphic>
              <a:graphicData uri="http://schemas.openxmlformats.org/drawingml/2006/picture">
                <pic:pic>
                  <pic:nvPicPr>
                    <pic:cNvPr descr="coding/spectre/bipolarrz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</w:p>
    <w:p>
      <w:pPr>
        <w:pStyle w:val="BodyText"/>
      </w:pPr>
      <w:r>
        <w:t xml:space="preserve">Manchester</w:t>
        <w:br/>
      </w:r>
      <w:bookmarkStart w:id="152" w:name="fig:028"/>
      <w:r>
        <w:drawing>
          <wp:inline>
            <wp:extent cx="5334000" cy="3997731"/>
            <wp:effectExtent b="0" l="0" r="0" t="0"/>
            <wp:docPr descr="Manchester (спектр)" title="" id="150" name="Picture"/>
            <a:graphic>
              <a:graphicData uri="http://schemas.openxmlformats.org/drawingml/2006/picture">
                <pic:pic>
                  <pic:nvPicPr>
                    <pic:cNvPr descr="coding/spectre/manchester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BodyText"/>
      </w:pPr>
      <w:r>
        <w:t xml:space="preserve">Differential Manchester</w:t>
        <w:br/>
      </w:r>
      <w:bookmarkStart w:id="156" w:name="fig:029"/>
      <w:r>
        <w:drawing>
          <wp:inline>
            <wp:extent cx="5334000" cy="3997731"/>
            <wp:effectExtent b="0" l="0" r="0" t="0"/>
            <wp:docPr descr="Differential Manchester (спектр)" title="" id="154" name="Picture"/>
            <a:graphic>
              <a:graphicData uri="http://schemas.openxmlformats.org/drawingml/2006/picture">
                <pic:pic>
                  <pic:nvPicPr>
                    <pic:cNvPr descr="coding/spectre/diffmanc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bookmarkEnd w:id="157"/>
    <w:bookmarkStart w:id="158" w:name="анализ"/>
    <w:p>
      <w:pPr>
        <w:pStyle w:val="Heading3"/>
      </w:pPr>
      <w:r>
        <w:rPr>
          <w:rStyle w:val="SectionNumber"/>
        </w:rPr>
        <w:t xml:space="preserve">2.5.6</w:t>
      </w:r>
      <w:r>
        <w:tab/>
        <w:t xml:space="preserve">Анализ</w:t>
      </w:r>
    </w:p>
    <w:p>
      <w:pPr>
        <w:pStyle w:val="FirstParagraph"/>
      </w:pPr>
      <w:r>
        <w:t xml:space="preserve">Unipolar</w:t>
        <w:br/>
        <w:t xml:space="preserve">Нет инверсий на длинной серии нулей. Сильная DC-составляющая. Самосинхронизация отсутствует на последовательностях с малой числом переходов.</w:t>
      </w:r>
    </w:p>
    <w:p>
      <w:pPr>
        <w:pStyle w:val="BodyText"/>
      </w:pPr>
      <w:r>
        <w:t xml:space="preserve">AMI</w:t>
        <w:br/>
        <w:t xml:space="preserve">Единицы чередуют полярность, что исключает DC и облегчает обнаружение ошибок полярности. На длинной серии нулей переходов нет, самосинхронизация ухудшается. Применяются вставки скреймблинга/подстановочные шаблоны для ограничения длины серии нулей.</w:t>
      </w:r>
    </w:p>
    <w:p>
      <w:pPr>
        <w:pStyle w:val="BodyText"/>
      </w:pPr>
      <w:r>
        <w:t xml:space="preserve">Bipolar NRZ</w:t>
        <w:br/>
        <w:t xml:space="preserve">Переходы только при смене бита. На длинной серии одинаковых символов переходов нет, синхронизация теряется. DC подавлена слабее, чем у AMI.</w:t>
      </w:r>
    </w:p>
    <w:p>
      <w:pPr>
        <w:pStyle w:val="BodyText"/>
      </w:pPr>
      <w:r>
        <w:t xml:space="preserve">Bipolar RZ</w:t>
        <w:br/>
        <w:t xml:space="preserve">Возврат к нулю в каждом такте создаёт обязательный переход внутри бита. Самосинхронизация выше, чем у NRZ/Unipolar. Ширина спектра больше из-за удвоения числа фронтов.</w:t>
      </w:r>
    </w:p>
    <w:p>
      <w:pPr>
        <w:pStyle w:val="BodyText"/>
      </w:pPr>
      <w:r>
        <w:t xml:space="preserve">Manchester</w:t>
        <w:br/>
        <w:t xml:space="preserve">Переход в середине каждого такта обеспечивает самосинхронизацию даже на одинаковых сериях. Отсутствует DC-составляющая. Эффективная полоса вдвое шире относительно исходной битовой скорости.</w:t>
      </w:r>
    </w:p>
    <w:p>
      <w:pPr>
        <w:pStyle w:val="BodyText"/>
      </w:pPr>
      <w:r>
        <w:t xml:space="preserve">Differential Manchester</w:t>
        <w:br/>
        <w:t xml:space="preserve">Сохранены свойства Manchester по самосинхронизации и отсутствию DC. Информация кодируется изменением/сохранением фазы относительно предыдущего такта, что повышает устойчивость к инверсии полярности канала.</w:t>
      </w:r>
    </w:p>
    <w:p>
      <w:pPr>
        <w:pStyle w:val="BodyText"/>
      </w:pPr>
      <w:r>
        <w:t xml:space="preserve">Сопоставление по спектру</w:t>
        <w:br/>
        <w:t xml:space="preserve">Unipolar показывает выраженный низкочастотный пик (DC). AMI и биполярные коды подавляют DC и концентрируют энергию в области тактовых частот и гармоник переходов. RZ и Manchester расширяют спектр за счёт обязательных переходов середины такта. Differential Manchester аналогичен Manchester по ширине спектра.</w:t>
      </w:r>
    </w:p>
    <w:p>
      <w:pPr>
        <w:pStyle w:val="BodyText"/>
      </w:pPr>
      <w:r>
        <w:t xml:space="preserve">Коды с принудительными переходами (RZ, Manchester, Differential Manchester) демонстрируют лучшую самосинхронизацию ценой увеличенной полосы. AMI эффективен по спектру и отсутствию DC, но требует мер против длинных серий нулей. Unipolar и Bipolar NRZ чувствительны к синхронизации при малом числе переходов и имеют менее благоприятные спектральные свойства.</w:t>
      </w:r>
    </w:p>
    <w:bookmarkEnd w:id="158"/>
    <w:bookmarkEnd w:id="159"/>
    <w:bookmarkEnd w:id="160"/>
    <w:bookmarkStart w:id="16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88" Target="media/rId88.png"/><Relationship Type="http://schemas.openxmlformats.org/officeDocument/2006/relationships/image" Id="rId92" Target="media/rId92.png"/><Relationship Type="http://schemas.openxmlformats.org/officeDocument/2006/relationships/image" Id="rId95" Target="media/rId95.png"/><Relationship Type="http://schemas.openxmlformats.org/officeDocument/2006/relationships/image" Id="rId103" Target="media/rId103.png"/><Relationship Type="http://schemas.openxmlformats.org/officeDocument/2006/relationships/image" Id="rId99" Target="media/rId99.png"/><Relationship Type="http://schemas.openxmlformats.org/officeDocument/2006/relationships/image" Id="rId84" Target="media/rId84.png"/><Relationship Type="http://schemas.openxmlformats.org/officeDocument/2006/relationships/image" Id="rId137" Target="media/rId137.png"/><Relationship Type="http://schemas.openxmlformats.org/officeDocument/2006/relationships/image" Id="rId141" Target="media/rId141.png"/><Relationship Type="http://schemas.openxmlformats.org/officeDocument/2006/relationships/image" Id="rId145" Target="media/rId145.png"/><Relationship Type="http://schemas.openxmlformats.org/officeDocument/2006/relationships/image" Id="rId153" Target="media/rId153.png"/><Relationship Type="http://schemas.openxmlformats.org/officeDocument/2006/relationships/image" Id="rId149" Target="media/rId149.png"/><Relationship Type="http://schemas.openxmlformats.org/officeDocument/2006/relationships/image" Id="rId133" Target="media/rId133.png"/><Relationship Type="http://schemas.openxmlformats.org/officeDocument/2006/relationships/image" Id="rId112" Target="media/rId112.png"/><Relationship Type="http://schemas.openxmlformats.org/officeDocument/2006/relationships/image" Id="rId116" Target="media/rId116.png"/><Relationship Type="http://schemas.openxmlformats.org/officeDocument/2006/relationships/image" Id="rId120" Target="media/rId120.png"/><Relationship Type="http://schemas.openxmlformats.org/officeDocument/2006/relationships/image" Id="rId128" Target="media/rId128.png"/><Relationship Type="http://schemas.openxmlformats.org/officeDocument/2006/relationships/image" Id="rId124" Target="media/rId124.png"/><Relationship Type="http://schemas.openxmlformats.org/officeDocument/2006/relationships/image" Id="rId108" Target="media/rId108.png"/><Relationship Type="http://schemas.openxmlformats.org/officeDocument/2006/relationships/image" Id="rId36" Target="media/rId36.png"/><Relationship Type="http://schemas.openxmlformats.org/officeDocument/2006/relationships/image" Id="rId71" Target="media/rId71.png"/><Relationship Type="http://schemas.openxmlformats.org/officeDocument/2006/relationships/image" Id="rId75" Target="media/rId75.png"/><Relationship Type="http://schemas.openxmlformats.org/officeDocument/2006/relationships/image" Id="rId27" Target="media/rId27.png"/><Relationship Type="http://schemas.openxmlformats.org/officeDocument/2006/relationships/image" Id="rId23" Target="media/rId23.png"/><Relationship Type="http://schemas.openxmlformats.org/officeDocument/2006/relationships/image" Id="rId58" Target="media/rId58.png"/><Relationship Type="http://schemas.openxmlformats.org/officeDocument/2006/relationships/image" Id="rId62" Target="media/rId62.png"/><Relationship Type="http://schemas.openxmlformats.org/officeDocument/2006/relationships/image" Id="rId46" Target="media/rId46.png"/><Relationship Type="http://schemas.openxmlformats.org/officeDocument/2006/relationships/image" Id="rId50" Target="media/rId50.png"/><Relationship Type="http://schemas.openxmlformats.org/officeDocument/2006/relationships/image" Id="rId54" Target="media/rId54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Абрикосов Артем</dc:creator>
  <dc:language>ru-RU</dc:language>
  <cp:keywords/>
  <dcterms:created xsi:type="dcterms:W3CDTF">2026-01-12T10:06:20Z</dcterms:created>
  <dcterms:modified xsi:type="dcterms:W3CDTF">2026-01-12T10:06:20Z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