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36"/>
          <w:szCs w:val="36"/>
        </w:rPr>
        <w:t xml:space="preserve">Machine Learning Dataset Profile</w:t>
      </w:r>
    </w:p>
    <w:p>
      <w:pPr>
        <w:pBdr>
          <w:bottom w:val="single" w:color="2E75B6" w:sz="6" w:space="1"/>
        </w:pBdr>
        <w:spacing w:after="80" w:before="0"/>
        <w:jc w:val="center"/>
      </w:pPr>
      <w:r>
        <w:rPr>
          <w:rFonts w:ascii="Arial" w:cs="Arial" w:eastAsia="Arial" w:hAnsi="Arial"/>
          <w:color w:val="2E75B6"/>
          <w:sz w:val="26"/>
          <w:szCs w:val="26"/>
        </w:rPr>
        <w:t xml:space="preserve">Host-Based Intrusion Detection using the TON_IoT Linux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sz w:val="20"/>
                <w:szCs w:val="20"/>
              </w:rPr>
              <w:t xml:space="preserve">Student Name:</w:t>
            </w:r>
            <w:r>
              <w:rPr>
                <w:rFonts w:ascii="Arial" w:cs="Arial" w:eastAsia="Arial" w:hAnsi="Arial"/>
                <w:sz w:val="20"/>
                <w:szCs w:val="20"/>
              </w:rPr>
              <w:t xml:space="preserve">  Alin Loshevsky</w:t>
            </w:r>
          </w:p>
        </w:tc>
        <w:tc>
          <w:tcPr>
            <w:tcW w:type="dxa" w:w="468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sz w:val="20"/>
                <w:szCs w:val="20"/>
              </w:rPr>
              <w:t xml:space="preserve">Date:</w:t>
            </w:r>
            <w:r>
              <w:rPr>
                <w:rFonts w:ascii="Arial" w:cs="Arial" w:eastAsia="Arial" w:hAnsi="Arial"/>
                <w:sz w:val="20"/>
                <w:szCs w:val="20"/>
              </w:rPr>
              <w:t xml:space="preserve">  7.6.2026</w:t>
            </w:r>
          </w:p>
        </w:tc>
      </w:tr>
      <w:tr>
        <w:tc>
          <w:tcPr>
            <w:tcW w:type="dxa" w:w="4680"/>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rFonts w:ascii="Arial" w:cs="Arial" w:eastAsia="Arial" w:hAnsi="Arial"/>
                <w:b/>
                <w:bCs/>
                <w:sz w:val="20"/>
                <w:szCs w:val="20"/>
              </w:rPr>
              <w:t xml:space="preserve">Chosen Cyber Technique:</w:t>
            </w:r>
            <w:r>
              <w:rPr>
                <w:rFonts w:ascii="Arial" w:cs="Arial" w:eastAsia="Arial" w:hAnsi="Arial"/>
                <w:sz w:val="20"/>
                <w:szCs w:val="20"/>
              </w:rPr>
              <w:t xml:space="preserve">  Multi-class (DoS, DDoS, Ransomware, MITM, Injection, Backdoor, Password, XSS, Scanning)</w:t>
            </w:r>
          </w:p>
        </w:tc>
        <w:tc>
          <w:tcPr>
            <w:tcW w:type="dxa" w:w="4680"/>
            <w:tcBorders>
              <w:top w:val="single" w:color="2E75B6" w:sz="1"/>
              <w:left w:val="single" w:color="2E75B6" w:sz="1"/>
              <w:bottom w:val="single" w:color="2E75B6" w:sz="1"/>
              <w:right w:val="single" w:color="2E75B6" w:sz="1"/>
            </w:tcBorders>
            <w:tcMar>
              <w:top w:type="dxa" w:w="100"/>
              <w:left w:type="dxa" w:w="160"/>
              <w:bottom w:type="dxa" w:w="100"/>
              <w:right w:type="dxa" w:w="160"/>
            </w:tcMar>
          </w:tcPr>
          <w:p>
            <w:r>
              <w:rPr>
                <w:rFonts w:ascii="Arial" w:cs="Arial" w:eastAsia="Arial" w:hAnsi="Arial"/>
                <w:b/>
                <w:bCs/>
                <w:sz w:val="20"/>
                <w:szCs w:val="20"/>
              </w:rPr>
              <w:t xml:space="preserve">Selected Dataset:</w:t>
            </w:r>
            <w:r>
              <w:rPr>
                <w:rFonts w:ascii="Arial" w:cs="Arial" w:eastAsia="Arial" w:hAnsi="Arial"/>
                <w:sz w:val="20"/>
                <w:szCs w:val="20"/>
              </w:rPr>
              <w:t xml:space="preserve">  TON_IoT Linux (Ubuntu 14 &amp; 18)</w:t>
            </w:r>
          </w:p>
        </w:tc>
      </w:tr>
    </w:tbl>
    <w:p>
      <w:pPr>
        <w:spacing w:after="80" w:before="80"/>
      </w:pPr>
      <w:r>
        <w:t xml:space="preserve"/>
      </w:r>
    </w:p>
    <w:p>
      <w:r>
        <w:br w:type="page"/>
      </w:r>
    </w:p>
    <w:p>
      <w:pPr>
        <w:pStyle w:val="Heading1"/>
        <w:pBdr>
          <w:bottom w:val="single" w:color="2E75B6" w:sz="6" w:space="1"/>
        </w:pBdr>
        <w:spacing w:after="120" w:before="320"/>
      </w:pPr>
      <w:r>
        <w:rPr>
          <w:rFonts w:ascii="Arial" w:cs="Arial" w:eastAsia="Arial" w:hAnsi="Arial"/>
          <w:b/>
          <w:bCs/>
          <w:color w:val="1F3864"/>
          <w:sz w:val="28"/>
          <w:szCs w:val="28"/>
        </w:rPr>
        <w:t xml:space="preserve">1. Dataset Provenance &amp; Metadata</w:t>
      </w:r>
    </w:p>
    <w:p>
      <w:pPr>
        <w:spacing w:after="100" w:before="80"/>
      </w:pPr>
      <w:r>
        <w:rPr>
          <w:rFonts w:ascii="Arial" w:cs="Arial" w:eastAsia="Arial" w:hAnsi="Arial"/>
          <w:sz w:val="22"/>
          <w:szCs w:val="22"/>
        </w:rPr>
        <w:t xml:space="preserve">The following table provides a high-level technical overview of the TON_IoT Linux dataset's origins and core metadata.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Details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Dataset Name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TON_IoT Linux Dataset (Ubuntu Subset) — part of the broader TON_IoT v1.0 collection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Creator / Originating Body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Associate Professor Nour Moustafa, School of Engineering and Information Technology (SEIT), UNSW Canberra at the Australian Defence Force Academy (ADFA)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Release Year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2019 (first presented); IEEE TrustCom Linux-specific paper published December 2020</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Primary Data Format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Raw audit traces captured by the atop monitoring tool on Ubuntu systems; stored as TXT and converted to CSV. Three separate CSV sub-datasets: Linux_Disk.csv, Linux_Process.csv, Linux_Memory.csv</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Total Record Count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Approximately 700,000+ labelled records across the three sub-datasets (disk, process, memory). Full counts are documented in the dataset's Description_stats_datasets folder. Train/test splits are also provided.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Ubuntu Versions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Ubuntu 14.04 LTS (Orchestrated Server, IP 192.168.1.190) and Ubuntu 18.04 LTS (Middleware Server, IP 192.168.1.152)</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Access / Repository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Freely available for academic use via UNSW SharePoint: https://research.unsw.edu.au/projects/toniot-datasets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Funding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Australian Research Data Commons (ARDC, RG192500) and UNSW Canberra (PS51776)</w:t>
            </w:r>
          </w:p>
        </w:tc>
      </w:tr>
    </w:tbl>
    <w:p>
      <w:pPr>
        <w:spacing w:after="80" w:before="80"/>
      </w:pPr>
      <w:r>
        <w:t xml:space="preserve"/>
      </w:r>
    </w:p>
    <w:p>
      <w:pPr>
        <w:pStyle w:val="Heading1"/>
        <w:pBdr>
          <w:bottom w:val="single" w:color="2E75B6" w:sz="6" w:space="1"/>
        </w:pBdr>
        <w:spacing w:after="120" w:before="320"/>
      </w:pPr>
      <w:r>
        <w:rPr>
          <w:rFonts w:ascii="Arial" w:cs="Arial" w:eastAsia="Arial" w:hAnsi="Arial"/>
          <w:b/>
          <w:bCs/>
          <w:color w:val="1F3864"/>
          <w:sz w:val="28"/>
          <w:szCs w:val="28"/>
        </w:rPr>
        <w:t xml:space="preserve">2. Generation Methodology</w:t>
      </w:r>
    </w:p>
    <w:p>
      <w:pPr>
        <w:pStyle w:val="Heading2"/>
        <w:spacing w:after="80" w:before="240"/>
      </w:pPr>
      <w:r>
        <w:rPr>
          <w:rFonts w:ascii="Arial" w:cs="Arial" w:eastAsia="Arial" w:hAnsi="Arial"/>
          <w:b/>
          <w:bCs/>
          <w:color w:val="2E75B6"/>
          <w:sz w:val="24"/>
          <w:szCs w:val="24"/>
        </w:rPr>
        <w:t xml:space="preserve">2.1 Testbed Architecture</w:t>
      </w:r>
    </w:p>
    <w:p>
      <w:pPr>
        <w:spacing w:after="100" w:before="80"/>
      </w:pPr>
      <w:r>
        <w:rPr>
          <w:rFonts w:ascii="Arial" w:cs="Arial" w:eastAsia="Arial" w:hAnsi="Arial"/>
          <w:sz w:val="22"/>
          <w:szCs w:val="22"/>
        </w:rPr>
        <w:t xml:space="preserve">The TON_IoT Linux dataset was generated within a large-scale, realistic testbed at the Cyber Range and IoT Labs, SEIT, UNSW Canberra @ ADFA. The infrastructure was programmatically orchestrated using Software-Defined Networking (SDN) and Network Function Virtualisation (NFV) via the VMware NSX and vCloud NFV platform. The architecture follows a three-tier IoT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Components &amp; Purpose</w:t>
            </w:r>
          </w:p>
        </w:tc>
      </w:tr>
      <w:tr>
        <w:tc>
          <w:tcPr>
            <w:tcW w:type="dxa" w:w="1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Edge Layer</w:t>
            </w:r>
          </w:p>
        </w:tc>
        <w:tc>
          <w:tcPr>
            <w:tcW w:type="dxa" w:w="7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Physical IoT devices (temperature sensors, smartphones, smart TVs), Ubuntu 14.04 and 18.04 client/server hosts, and network infrastructure. The NSX-VMware platform was configured on a host server to manage VMs at the fog layer.</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sz w:val="20"/>
                <w:szCs w:val="20"/>
              </w:rPr>
              <w:t xml:space="preserve">Fog Layer</w:t>
            </w:r>
          </w:p>
        </w:tc>
        <w:tc>
          <w:tcPr>
            <w:tcW w:type="dxa" w:w="7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Virtual machines managed via NSX-VMware and vCloud NFV: (1) Orchestrated Server — Ubuntu 14.04, IP 192.168.1.190, ran Kerberos, HTTPS, DNS, and Ostinato Traffic Generator; (2) Middleware Server — Ubuntu 18.04, IP 192.168.1.152, ran MQTT broker scripts and IoT service pipelines; (3) Client VMs — Windows 7 (192.168.1.193), Windows 10 (192.168.1.195), DVWA (192.168.1.192), OWASP Security Shepherd (192.168.1.184), Metasploitable3 (192.168.1.194).</w:t>
            </w:r>
          </w:p>
        </w:tc>
      </w:tr>
      <w:tr>
        <w:tc>
          <w:tcPr>
            <w:tcW w:type="dxa" w:w="1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Cloud Layer</w:t>
            </w:r>
          </w:p>
        </w:tc>
        <w:tc>
          <w:tcPr>
            <w:tcW w:type="dxa" w:w="7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Connected services including HIVE MQTT broker, public PHP vulnerable website, Microsoft Azure for telemetry visualisation, and Node-RED for IoT data publish/subscribe.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sz w:val="20"/>
                <w:szCs w:val="20"/>
              </w:rPr>
              <w:t xml:space="preserve">Offensive Systems</w:t>
            </w:r>
          </w:p>
        </w:tc>
        <w:tc>
          <w:tcPr>
            <w:tcW w:type="dxa" w:w="7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Ten Kali Linux VMs assigned IP addresses 192.168.1.30–39. Used to launch all nine attack families against victim systems in the testbed.</w:t>
            </w:r>
          </w:p>
        </w:tc>
      </w:tr>
      <w:tr>
        <w:tc>
          <w:tcPr>
            <w:tcW w:type="dxa" w:w="1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Data Loggers</w:t>
            </w:r>
          </w:p>
        </w:tc>
        <w:tc>
          <w:tcPr>
            <w:tcW w:type="dxa" w:w="7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The atop monitoring tool was deployed on the Ubuntu orchestrated and middleware servers to capture disk, process, and memory telemetry. Output was recorded as raw TXT and then converted to CSV.</w:t>
            </w:r>
          </w:p>
        </w:tc>
      </w:tr>
    </w:tbl>
    <w:p>
      <w:pPr>
        <w:spacing w:after="160" w:before="60"/>
        <w:jc w:val="center"/>
      </w:pPr>
      <w:r>
        <w:rPr>
          <w:rFonts w:ascii="Arial" w:cs="Arial" w:eastAsia="Arial" w:hAnsi="Arial"/>
          <w:i/>
          <w:iCs/>
          <w:color w:val="555555"/>
          <w:sz w:val="18"/>
          <w:szCs w:val="18"/>
        </w:rPr>
        <w:t xml:space="preserve">Table 2.1 — Testbed architecture layers for TON_IoT Linux dataset collection</w:t>
      </w:r>
    </w:p>
    <w:p>
      <w:pPr>
        <w:spacing w:after="80" w:before="80"/>
      </w:pPr>
      <w:r>
        <w:t xml:space="preserve"/>
      </w:r>
    </w:p>
    <w:p>
      <w:pPr>
        <w:spacing w:after="100" w:before="80"/>
      </w:pPr>
      <w:r>
        <w:rPr>
          <w:rFonts w:ascii="Arial" w:cs="Arial" w:eastAsia="Arial" w:hAnsi="Arial"/>
          <w:sz w:val="22"/>
          <w:szCs w:val="22"/>
        </w:rPr>
        <w:t xml:space="preserve">Diagram note: The three-layer architecture flows from Edge (physical IoT devices and Ubuntu servers) through the Fog (VMware NSX-managed VMs performing orchestration and middleware) up to the Cloud (Azure analytics, MQTT broker, and vulnerable web applications). The Kali Linux offensive nodes at the Edge/Fog boundary launch attacks laterally across all three tiers, while the atop data loggers on the Ubuntu VMs record system-level traces that constitute the Linux dataset.</w:t>
      </w:r>
    </w:p>
    <w:p>
      <w:pPr>
        <w:pStyle w:val="Heading2"/>
        <w:spacing w:after="80" w:before="240"/>
      </w:pPr>
      <w:r>
        <w:rPr>
          <w:rFonts w:ascii="Arial" w:cs="Arial" w:eastAsia="Arial" w:hAnsi="Arial"/>
          <w:b/>
          <w:bCs/>
          <w:color w:val="2E75B6"/>
          <w:sz w:val="24"/>
          <w:szCs w:val="24"/>
        </w:rPr>
        <w:t xml:space="preserve">2.2 Benign Traffic Generation</w:t>
      </w:r>
    </w:p>
    <w:p>
      <w:pPr>
        <w:spacing w:after="100" w:before="80"/>
      </w:pPr>
      <w:r>
        <w:rPr>
          <w:rFonts w:ascii="Arial" w:cs="Arial" w:eastAsia="Arial" w:hAnsi="Arial"/>
          <w:sz w:val="22"/>
          <w:szCs w:val="22"/>
        </w:rPr>
        <w:t xml:space="preserve">Normal (benign) scenarios were constructed by operating the orchestrated and middleware servers in legitimate modes without initiating any attack activity. Specific benign generation techniques included:</w:t>
      </w:r>
    </w:p>
    <w:p>
      <w:pPr>
        <w:pStyle w:val="ListParagraph"/>
        <w:numPr>
          <w:ilvl w:val="0"/>
          <w:numId w:val="2"/>
        </w:numPr>
        <w:spacing w:after="60" w:before="40"/>
      </w:pPr>
      <w:r>
        <w:rPr>
          <w:rFonts w:ascii="Arial" w:cs="Arial" w:eastAsia="Arial" w:hAnsi="Arial"/>
          <w:b w:val="false"/>
          <w:bCs w:val="false"/>
          <w:sz w:val="22"/>
          <w:szCs w:val="22"/>
        </w:rPr>
        <w:t xml:space="preserve">Publishing and subscribing to IoT telemetry data (temperature and Modbus sensor readings) between the edge, fog, and cloud layers via the Node-RED tool and HIVE MQTT broker.</w:t>
      </w:r>
    </w:p>
    <w:p>
      <w:pPr>
        <w:pStyle w:val="ListParagraph"/>
        <w:numPr>
          <w:ilvl w:val="0"/>
          <w:numId w:val="2"/>
        </w:numPr>
        <w:spacing w:after="60" w:before="40"/>
      </w:pPr>
      <w:r>
        <w:rPr>
          <w:rFonts w:ascii="Arial" w:cs="Arial" w:eastAsia="Arial" w:hAnsi="Arial"/>
          <w:b w:val="false"/>
          <w:bCs w:val="false"/>
          <w:sz w:val="22"/>
          <w:szCs w:val="22"/>
        </w:rPr>
        <w:t xml:space="preserve">Generating synthetic network packets using the Ostinato Traffic Generator on the orchestrated server (192.168.1.190), simulating realistic inter-VM communication.</w:t>
      </w:r>
    </w:p>
    <w:p>
      <w:pPr>
        <w:pStyle w:val="ListParagraph"/>
        <w:numPr>
          <w:ilvl w:val="0"/>
          <w:numId w:val="2"/>
        </w:numPr>
        <w:spacing w:after="60" w:before="40"/>
      </w:pPr>
      <w:r>
        <w:rPr>
          <w:rFonts w:ascii="Arial" w:cs="Arial" w:eastAsia="Arial" w:hAnsi="Arial"/>
          <w:b w:val="false"/>
          <w:bCs w:val="false"/>
          <w:sz w:val="22"/>
          <w:szCs w:val="22"/>
        </w:rPr>
        <w:t xml:space="preserve">Running standard OS services on the Ubuntu VMs such as Kerberos authentication, HTTPS, and DNS, producing natural memory, process, and disk traces.</w:t>
      </w:r>
    </w:p>
    <w:p>
      <w:pPr>
        <w:pStyle w:val="ListParagraph"/>
        <w:numPr>
          <w:ilvl w:val="0"/>
          <w:numId w:val="2"/>
        </w:numPr>
        <w:spacing w:after="60" w:before="40"/>
      </w:pPr>
      <w:r>
        <w:rPr>
          <w:rFonts w:ascii="Arial" w:cs="Arial" w:eastAsia="Arial" w:hAnsi="Arial"/>
          <w:b w:val="false"/>
          <w:bCs w:val="false"/>
          <w:sz w:val="22"/>
          <w:szCs w:val="22"/>
        </w:rPr>
        <w:t xml:space="preserve">Conducting ordinary client-server interactions between the Windows VMs and the Ubuntu servers, including web browsing sessions to the Node-RED dashboard.</w:t>
      </w:r>
    </w:p>
    <w:p>
      <w:pPr>
        <w:pStyle w:val="Heading2"/>
        <w:spacing w:after="80" w:before="240"/>
      </w:pPr>
      <w:r>
        <w:rPr>
          <w:rFonts w:ascii="Arial" w:cs="Arial" w:eastAsia="Arial" w:hAnsi="Arial"/>
          <w:b/>
          <w:bCs/>
          <w:color w:val="2E75B6"/>
          <w:sz w:val="24"/>
          <w:szCs w:val="24"/>
        </w:rPr>
        <w:t xml:space="preserve">2.3 Attack Execution</w:t>
      </w:r>
    </w:p>
    <w:p>
      <w:pPr>
        <w:spacing w:after="100" w:before="80"/>
      </w:pPr>
      <w:r>
        <w:rPr>
          <w:rFonts w:ascii="Arial" w:cs="Arial" w:eastAsia="Arial" w:hAnsi="Arial"/>
          <w:sz w:val="22"/>
          <w:szCs w:val="22"/>
        </w:rPr>
        <w:t xml:space="preserve">Nine distinct attack families were executed by the ten Kali Linux offensive VMs (192.168.1.30–39) against the testbed. The following table details the tools and methods used for each attack category relevant to host-based intrusion detection: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Type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Tools / Techniques</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Scanning</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Nessus, Nmap</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Network reconnaissance against the victim subnet (192.168.1.0/24) to discover open services and ports.</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sz w:val="20"/>
                <w:szCs w:val="20"/>
              </w:rPr>
              <w:t xml:space="preserve">Ransomware</w:t>
            </w:r>
          </w:p>
        </w:tc>
        <w:tc>
          <w:tcPr>
            <w:tcW w:type="dxa" w:w="2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Metasploit (SMB exploit)</w:t>
            </w:r>
          </w:p>
        </w:tc>
        <w:tc>
          <w:tcPr>
            <w:tcW w:type="dxa" w:w="5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SMB vulnerability exploitation via Kali (192.168.1.33, .37) to deploy ransomware payloads against host systems.</w:t>
            </w:r>
          </w:p>
        </w:tc>
      </w:tr>
      <w:tr>
        <w:tc>
          <w:tcPr>
            <w:tcW w:type="dxa" w:w="1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DoS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Python/Scapy, custom scripts</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Land and SYN flood DoS attacks against Linux services from Kali (192.168.1.30, .31, .39).</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sz w:val="20"/>
                <w:szCs w:val="20"/>
              </w:rPr>
              <w:t xml:space="preserve">DDoS</w:t>
            </w:r>
          </w:p>
        </w:tc>
        <w:tc>
          <w:tcPr>
            <w:tcW w:type="dxa" w:w="2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UFONet, bash scripts</w:t>
            </w:r>
          </w:p>
        </w:tc>
        <w:tc>
          <w:tcPr>
            <w:tcW w:type="dxa" w:w="5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Distributed flooding from Kali (192.168.1.30–38) coordinated to overwhelm Linux and IoT endpoints.</w:t>
            </w:r>
          </w:p>
        </w:tc>
      </w:tr>
      <w:tr>
        <w:tc>
          <w:tcPr>
            <w:tcW w:type="dxa" w:w="1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Injection</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SQL Injection, broken auth scripts</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Data injection attacks against DVWA and Linux VMs (192.168.1.30, .31, .33, .35), targeting web application vulnerabilities.</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sz w:val="20"/>
                <w:szCs w:val="20"/>
              </w:rPr>
              <w:t xml:space="preserve">Backdoor</w:t>
            </w:r>
          </w:p>
        </w:tc>
        <w:tc>
          <w:tcPr>
            <w:tcW w:type="dxa" w:w="2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Metasploit persistence scripts</w:t>
            </w:r>
          </w:p>
        </w:tc>
        <w:tc>
          <w:tcPr>
            <w:tcW w:type="dxa" w:w="5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Persistent backdoor establishment via 'run persistence -h' on Kali (192.168.1.33, .37).</w:t>
            </w:r>
          </w:p>
        </w:tc>
      </w:tr>
      <w:tr>
        <w:tc>
          <w:tcPr>
            <w:tcW w:type="dxa" w:w="1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Password</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Hydra, CeWL</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Brute-force and dictionary-based password attacks from Kali (192.168.1.30, .31, .32, .35, .38).</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sz w:val="20"/>
                <w:szCs w:val="20"/>
              </w:rPr>
              <w:t xml:space="preserve">MITM</w:t>
            </w:r>
          </w:p>
        </w:tc>
        <w:tc>
          <w:tcPr>
            <w:tcW w:type="dxa" w:w="2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Ettercap (ARP spoofing, port steal)</w:t>
            </w:r>
          </w:p>
        </w:tc>
        <w:tc>
          <w:tcPr>
            <w:tcW w:type="dxa" w:w="5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Man-in-the-middle scenarios from Kali (192.168.1.31, .34) intercepting traffic between hosts.</w:t>
            </w:r>
          </w:p>
        </w:tc>
      </w:tr>
      <w:tr>
        <w:tc>
          <w:tcPr>
            <w:tcW w:type="dxa" w:w="16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XSS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XSSer, Python scripts</w:t>
            </w:r>
          </w:p>
        </w:tc>
        <w:tc>
          <w:tcPr>
            <w:tcW w:type="dxa" w:w="5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Cross-site scripting injection against DVWA, Security Shepherd, and Linux VMs from Kali (192.168.1.32, .35, .36, .39).</w:t>
            </w:r>
          </w:p>
        </w:tc>
      </w:tr>
    </w:tbl>
    <w:p>
      <w:pPr>
        <w:spacing w:after="160" w:before="60"/>
        <w:jc w:val="center"/>
      </w:pPr>
      <w:r>
        <w:rPr>
          <w:rFonts w:ascii="Arial" w:cs="Arial" w:eastAsia="Arial" w:hAnsi="Arial"/>
          <w:i/>
          <w:iCs/>
          <w:color w:val="555555"/>
          <w:sz w:val="18"/>
          <w:szCs w:val="18"/>
        </w:rPr>
        <w:t xml:space="preserve">Table 2.3 — Attack families, tools, and descriptions in the TON_IoT Linux dataset</w:t>
      </w:r>
    </w:p>
    <w:p>
      <w:pPr>
        <w:spacing w:after="80" w:before="80"/>
      </w:pPr>
      <w:r>
        <w:t xml:space="preserve"/>
      </w:r>
    </w:p>
    <w:p>
      <w:pPr>
        <w:pStyle w:val="Heading1"/>
        <w:pBdr>
          <w:bottom w:val="single" w:color="2E75B6" w:sz="6" w:space="1"/>
        </w:pBdr>
        <w:spacing w:after="120" w:before="320"/>
      </w:pPr>
      <w:r>
        <w:rPr>
          <w:rFonts w:ascii="Arial" w:cs="Arial" w:eastAsia="Arial" w:hAnsi="Arial"/>
          <w:b/>
          <w:bCs/>
          <w:color w:val="1F3864"/>
          <w:sz w:val="28"/>
          <w:szCs w:val="28"/>
        </w:rPr>
        <w:t xml:space="preserve">3. Data Structure &amp; Schema</w:t>
      </w:r>
    </w:p>
    <w:p>
      <w:pPr>
        <w:pStyle w:val="Heading2"/>
        <w:spacing w:after="80" w:before="240"/>
      </w:pPr>
      <w:r>
        <w:rPr>
          <w:rFonts w:ascii="Arial" w:cs="Arial" w:eastAsia="Arial" w:hAnsi="Arial"/>
          <w:b/>
          <w:bCs/>
          <w:color w:val="2E75B6"/>
          <w:sz w:val="24"/>
          <w:szCs w:val="24"/>
        </w:rPr>
        <w:t xml:space="preserve">3.1 Record Schema and Sub-Datasets</w:t>
      </w:r>
    </w:p>
    <w:p>
      <w:pPr>
        <w:spacing w:after="100" w:before="80"/>
      </w:pPr>
      <w:r>
        <w:rPr>
          <w:rFonts w:ascii="Arial" w:cs="Arial" w:eastAsia="Arial" w:hAnsi="Arial"/>
          <w:sz w:val="22"/>
          <w:szCs w:val="22"/>
        </w:rPr>
        <w:t xml:space="preserve">The TON_IoT Linux dataset is divided into three distinct sub-datasets, each corresponding to a different hardware subsystem monitored by the atop tool on the Ubuntu servers. All three share a common PID (Process Identifier) key that enables cross-dataset joins for unified multi-source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Sub-Dataset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Data Source</w:t>
            </w:r>
          </w:p>
        </w:tc>
      </w:tr>
      <w:tr>
        <w:tc>
          <w:tcPr>
            <w:tcW w:type="dxa" w:w="1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Linux_Disk</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8</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Hard disk I/O traces: read/write operations per process, disk occupation, cancelled writes.</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sz w:val="20"/>
                <w:szCs w:val="20"/>
              </w:rPr>
              <w:t xml:space="preserve">Linux_Process</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16</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CPU and scheduling traces: thread states, scheduling policy, priority, CPU consumption, process lifecycle.</w:t>
            </w:r>
          </w:p>
        </w:tc>
      </w:tr>
      <w:tr>
        <w:tc>
          <w:tcPr>
            <w:tcW w:type="dxa" w:w="1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Linux_Memory</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12</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RAM usage traces: page faults, virtual/resident memory size and growth, memory occupation percentage.</w:t>
            </w:r>
          </w:p>
        </w:tc>
      </w:tr>
    </w:tbl>
    <w:p>
      <w:pPr>
        <w:spacing w:after="160" w:before="60"/>
        <w:jc w:val="center"/>
      </w:pPr>
      <w:r>
        <w:rPr>
          <w:rFonts w:ascii="Arial" w:cs="Arial" w:eastAsia="Arial" w:hAnsi="Arial"/>
          <w:i/>
          <w:iCs/>
          <w:color w:val="555555"/>
          <w:sz w:val="18"/>
          <w:szCs w:val="18"/>
        </w:rPr>
        <w:t xml:space="preserve">Table 3.1 — Three sub-datasets of the TON_IoT Linux collection</w:t>
      </w:r>
    </w:p>
    <w:p>
      <w:pPr>
        <w:spacing w:after="80" w:before="80"/>
      </w:pPr>
      <w:r>
        <w:t xml:space="preserve"/>
      </w:r>
    </w:p>
    <w:p>
      <w:pPr>
        <w:spacing w:after="100" w:before="80"/>
      </w:pPr>
      <w:r>
        <w:rPr>
          <w:rFonts w:ascii="Arial" w:cs="Arial" w:eastAsia="Arial" w:hAnsi="Arial"/>
          <w:sz w:val="22"/>
          <w:szCs w:val="22"/>
        </w:rPr>
        <w:t xml:space="preserve">Preprocessing required: The raw atop output is in TXT format and must be parsed and converted to CSV. The CMD (process name) column is a string type requiring categorical encoding (e.g., label encoding or one-hot encoding) prior to ML ingestion. The POLI (scheduling policy) and State fields likewise require encoding. Infinite values do not appear in this host-based dataset since features are hardware counters, but NaN imputation may be required for optional atop fields not reported during short measurement intervals.</w:t>
      </w:r>
    </w:p>
    <w:p>
      <w:pPr>
        <w:pStyle w:val="Heading2"/>
        <w:spacing w:after="80" w:before="240"/>
      </w:pPr>
      <w:r>
        <w:rPr>
          <w:rFonts w:ascii="Arial" w:cs="Arial" w:eastAsia="Arial" w:hAnsi="Arial"/>
          <w:b/>
          <w:bCs/>
          <w:color w:val="2E75B6"/>
          <w:sz w:val="24"/>
          <w:szCs w:val="24"/>
        </w:rPr>
        <w:t xml:space="preserve">3.2 Feature Categories</w:t>
      </w:r>
    </w:p>
    <w:p>
      <w:pPr>
        <w:spacing w:after="100" w:before="80"/>
      </w:pPr>
      <w:r>
        <w:rPr>
          <w:rFonts w:ascii="Arial" w:cs="Arial" w:eastAsia="Arial" w:hAnsi="Arial"/>
          <w:sz w:val="22"/>
          <w:szCs w:val="22"/>
        </w:rPr>
        <w:t xml:space="preserve">Since this is a host-based dataset, all features derive from OS-level audit traces rather than network packet headers. There are no network-level features (IP addresses, ports, protocols) or payload features in the Linux sub-datasets. Features fall into the following categories:</w:t>
      </w:r>
    </w:p>
    <w:p>
      <w:pPr>
        <w:spacing w:after="80" w:before="80"/>
      </w:pPr>
      <w:r>
        <w:t xml:space="preserve"/>
      </w:r>
    </w:p>
    <w:p>
      <w:pPr>
        <w:pStyle w:val="ListParagraph"/>
        <w:numPr>
          <w:ilvl w:val="0"/>
          <w:numId w:val="2"/>
        </w:numPr>
        <w:spacing w:after="60" w:before="40"/>
      </w:pPr>
      <w:r>
        <w:rPr>
          <w:rFonts w:ascii="Arial" w:cs="Arial" w:eastAsia="Arial" w:hAnsi="Arial"/>
          <w:b/>
          <w:bCs/>
          <w:sz w:val="22"/>
          <w:szCs w:val="22"/>
        </w:rPr>
        <w:t xml:space="preserve">Host/Process-Based Features</w:t>
      </w:r>
    </w:p>
    <w:p>
      <w:pPr>
        <w:pStyle w:val="ListParagraph"/>
        <w:numPr>
          <w:ilvl w:val="0"/>
          <w:numId w:val="3"/>
        </w:numPr>
        <w:spacing w:after="50" w:before="30"/>
      </w:pPr>
      <w:r>
        <w:rPr>
          <w:rFonts w:ascii="Arial" w:cs="Arial" w:eastAsia="Arial" w:hAnsi="Arial"/>
          <w:sz w:val="22"/>
          <w:szCs w:val="22"/>
        </w:rPr>
        <w:t xml:space="preserve">Disk sub-dataset: PID, RDDSK (bytes read from disk), WRDSK (bytes written), WCANCL (cancelled write bytes), DSK (disk occupation %), CMD (process name).</w:t>
      </w:r>
    </w:p>
    <w:p>
      <w:pPr>
        <w:pStyle w:val="ListParagraph"/>
        <w:numPr>
          <w:ilvl w:val="0"/>
          <w:numId w:val="3"/>
        </w:numPr>
        <w:spacing w:after="50" w:before="30"/>
      </w:pPr>
      <w:r>
        <w:rPr>
          <w:rFonts w:ascii="Arial" w:cs="Arial" w:eastAsia="Arial" w:hAnsi="Arial"/>
          <w:sz w:val="22"/>
          <w:szCs w:val="22"/>
        </w:rPr>
        <w:t xml:space="preserve">Process sub-dataset: PID, TRUN (running threads), TSLPI (interruptible sleep threads), TSLPU (uninterruptible sleep threads), POLI (scheduling policy), NICE (static priority), PRI (dynamic priority 0–139), RTPR (real-time priority), CPUNR (CPU ID), Status (process lifecycle flag), EXC (exit code), State (thread state), CPU (kernel-mode CPU time), CMD (process name).</w:t>
      </w:r>
    </w:p>
    <w:p>
      <w:pPr>
        <w:pStyle w:val="ListParagraph"/>
        <w:numPr>
          <w:ilvl w:val="0"/>
          <w:numId w:val="3"/>
        </w:numPr>
        <w:spacing w:after="50" w:before="30"/>
      </w:pPr>
      <w:r>
        <w:rPr>
          <w:rFonts w:ascii="Arial" w:cs="Arial" w:eastAsia="Arial" w:hAnsi="Arial"/>
          <w:sz w:val="22"/>
          <w:szCs w:val="22"/>
        </w:rPr>
        <w:t xml:space="preserve">Memory sub-dataset: PID, MINFLT (minor page faults), MAJFLT (major page faults), VSTEXT (virtual text segment size), VSIZE (total virtual memory), RSIZE (total resident memory), VGROW (virtual memory growth), RGROW (resident memory growth), MEM (memory occupation %), CMD (process name).</w:t>
      </w:r>
    </w:p>
    <w:p>
      <w:pPr>
        <w:spacing w:after="80" w:before="80"/>
      </w:pPr>
      <w:r>
        <w:t xml:space="preserve"/>
      </w:r>
    </w:p>
    <w:p>
      <w:pPr>
        <w:pStyle w:val="ListParagraph"/>
        <w:numPr>
          <w:ilvl w:val="0"/>
          <w:numId w:val="2"/>
        </w:numPr>
        <w:spacing w:after="60" w:before="40"/>
      </w:pPr>
      <w:r>
        <w:rPr>
          <w:rFonts w:ascii="Arial" w:cs="Arial" w:eastAsia="Arial" w:hAnsi="Arial"/>
          <w:b/>
          <w:bCs/>
          <w:sz w:val="22"/>
          <w:szCs w:val="22"/>
        </w:rPr>
        <w:t xml:space="preserve">Label Columns (present in all three sub-datasets)</w:t>
      </w:r>
    </w:p>
    <w:p>
      <w:pPr>
        <w:pStyle w:val="ListParagraph"/>
        <w:numPr>
          <w:ilvl w:val="0"/>
          <w:numId w:val="3"/>
        </w:numPr>
        <w:spacing w:after="50" w:before="30"/>
      </w:pPr>
      <w:r>
        <w:rPr>
          <w:rFonts w:ascii="Arial" w:cs="Arial" w:eastAsia="Arial" w:hAnsi="Arial"/>
          <w:sz w:val="22"/>
          <w:szCs w:val="22"/>
        </w:rPr>
        <w:t xml:space="preserve">label: Binary integer — 0 = normal, 1 = attack.</w:t>
      </w:r>
    </w:p>
    <w:p>
      <w:pPr>
        <w:pStyle w:val="ListParagraph"/>
        <w:numPr>
          <w:ilvl w:val="0"/>
          <w:numId w:val="3"/>
        </w:numPr>
        <w:spacing w:after="50" w:before="30"/>
      </w:pPr>
      <w:r>
        <w:rPr>
          <w:rFonts w:ascii="Arial" w:cs="Arial" w:eastAsia="Arial" w:hAnsi="Arial"/>
          <w:sz w:val="22"/>
          <w:szCs w:val="22"/>
        </w:rPr>
        <w:t xml:space="preserve">type: String — categorical label identifying the specific attack type (normal, DoS, DDoS, Ransomware, MITM, Injection, Backdoor, Password, XSS, Scanning) or 'normal'.</w:t>
      </w:r>
    </w:p>
    <w:p>
      <w:pPr>
        <w:pStyle w:val="Heading2"/>
        <w:spacing w:after="80" w:before="240"/>
      </w:pPr>
      <w:r>
        <w:rPr>
          <w:rFonts w:ascii="Arial" w:cs="Arial" w:eastAsia="Arial" w:hAnsi="Arial"/>
          <w:b/>
          <w:bCs/>
          <w:color w:val="2E75B6"/>
          <w:sz w:val="24"/>
          <w:szCs w:val="24"/>
        </w:rPr>
        <w:t xml:space="preserve">3.3 Feature Count</w:t>
      </w:r>
    </w:p>
    <w:p>
      <w:pPr>
        <w:spacing w:after="100" w:before="80"/>
      </w:pPr>
      <w:r>
        <w:rPr>
          <w:rFonts w:ascii="Arial" w:cs="Arial" w:eastAsia="Arial" w:hAnsi="Arial"/>
          <w:sz w:val="22"/>
          <w:szCs w:val="22"/>
        </w:rPr>
        <w:t xml:space="preserve">The table below summarises the independent variable counts per sub-dataset, excluding the two label columns (label, type):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Sub-Dataset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Independent Features (excluding labels)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Linux_Disk</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 features (PID, RDDSK, WRDSK, WCANCL, DSK, CMD)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Linux_Process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14 features (PID, TRUN, TSLPI, TSLPU, POLI, NICE, PRI, RTPR, CPUNR, Status, EXC, State, CPU, CMD)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Linux_Memory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 features (PID, MINFLT, MAJFLT, VSTEXT, VSIZE, RSIZE, VGROW, RGROW, MEM, CMD)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Combined (via PID join)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 to ~27 unique features after deduplication of shared PID and CMD columns</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3.4 Target Labeling</w:t>
      </w:r>
    </w:p>
    <w:p>
      <w:pPr>
        <w:spacing w:after="100" w:before="80"/>
      </w:pPr>
      <w:r>
        <w:rPr>
          <w:rFonts w:ascii="Arial" w:cs="Arial" w:eastAsia="Arial" w:hAnsi="Arial"/>
          <w:sz w:val="22"/>
          <w:szCs w:val="22"/>
        </w:rPr>
        <w:t xml:space="preserve">The dataset supports both binary and multi-class classification paradigms:</w:t>
      </w:r>
    </w:p>
    <w:p>
      <w:pPr>
        <w:pStyle w:val="ListParagraph"/>
        <w:numPr>
          <w:ilvl w:val="0"/>
          <w:numId w:val="2"/>
        </w:numPr>
        <w:spacing w:after="60" w:before="40"/>
      </w:pPr>
      <w:r>
        <w:rPr>
          <w:rFonts w:ascii="Arial" w:cs="Arial" w:eastAsia="Arial" w:hAnsi="Arial"/>
          <w:b w:val="false"/>
          <w:bCs w:val="false"/>
          <w:sz w:val="22"/>
          <w:szCs w:val="22"/>
        </w:rPr>
        <w:t xml:space="preserve">Binary Classification: Using the label column (0 = Normal, 1 = Attack), the model is trained to distinguish benign system behaviour from any intrusion event. This is the simplest formulation and suitable for deployment-stage anomaly detectors.</w:t>
      </w:r>
    </w:p>
    <w:p>
      <w:pPr>
        <w:pStyle w:val="ListParagraph"/>
        <w:numPr>
          <w:ilvl w:val="0"/>
          <w:numId w:val="2"/>
        </w:numPr>
        <w:spacing w:after="60" w:before="40"/>
      </w:pPr>
      <w:r>
        <w:rPr>
          <w:rFonts w:ascii="Arial" w:cs="Arial" w:eastAsia="Arial" w:hAnsi="Arial"/>
          <w:b w:val="false"/>
          <w:bCs w:val="false"/>
          <w:sz w:val="22"/>
          <w:szCs w:val="22"/>
        </w:rPr>
        <w:t xml:space="preserve">Multi-class Classification: Using the type column, the model can distinguish among ten classes: normal, DoS, DDoS, Ransomware, MITM, Injection, Backdoor, Password, XSS, and Scanning. This formulation is more demanding but provides actionable attack attribution, which is particularly valuable for a host-based LLM-powered IDS that can generate natural language threat explanations.</w:t>
      </w:r>
    </w:p>
    <w:p>
      <w:pPr>
        <w:spacing w:after="80" w:before="80"/>
      </w:pPr>
      <w:r>
        <w:t xml:space="preserve"/>
      </w:r>
    </w:p>
    <w:p>
      <w:pPr>
        <w:pStyle w:val="Heading1"/>
        <w:pBdr>
          <w:bottom w:val="single" w:color="2E75B6" w:sz="6" w:space="1"/>
        </w:pBdr>
        <w:spacing w:after="120" w:before="320"/>
      </w:pPr>
      <w:r>
        <w:rPr>
          <w:rFonts w:ascii="Arial" w:cs="Arial" w:eastAsia="Arial" w:hAnsi="Arial"/>
          <w:b/>
          <w:bCs/>
          <w:color w:val="1F3864"/>
          <w:sz w:val="28"/>
          <w:szCs w:val="28"/>
        </w:rPr>
        <w:t xml:space="preserve">4. Statistical &amp; Data Characteristics</w:t>
      </w:r>
    </w:p>
    <w:p>
      <w:pPr>
        <w:pStyle w:val="Heading2"/>
        <w:spacing w:after="80" w:before="240"/>
      </w:pPr>
      <w:r>
        <w:rPr>
          <w:rFonts w:ascii="Arial" w:cs="Arial" w:eastAsia="Arial" w:hAnsi="Arial"/>
          <w:b/>
          <w:bCs/>
          <w:color w:val="2E75B6"/>
          <w:sz w:val="24"/>
          <w:szCs w:val="24"/>
        </w:rPr>
        <w:t xml:space="preserve">4.1 Class Distribution &amp; Imbalance</w:t>
      </w:r>
    </w:p>
    <w:p>
      <w:pPr>
        <w:spacing w:after="100" w:before="80"/>
      </w:pPr>
      <w:r>
        <w:rPr>
          <w:rFonts w:ascii="Arial" w:cs="Arial" w:eastAsia="Arial" w:hAnsi="Arial"/>
          <w:sz w:val="22"/>
          <w:szCs w:val="22"/>
        </w:rPr>
        <w:t xml:space="preserve">The TON_IoT Linux dataset exhibits class imbalance across all three sub-datasets, which is consistent with the reality of operational Linux environments where the vast majority of process activity is benign. Based on the statistics reported in the original TrustCom 2020 paper (Moustafa et al.) and the dataset's Description_stats_datasets folder, the approximate distribution is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Sub-Dataset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Normal Records</w:t>
            </w:r>
          </w:p>
        </w:tc>
        <w:tc>
          <w:tcPr>
            <w:tcW w:type="dxa" w:w="2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Records</w:t>
            </w:r>
          </w:p>
        </w:tc>
        <w:tc>
          <w:tcPr>
            <w:tcW w:type="dxa" w:w="2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Approx. Ratio</w:t>
            </w:r>
          </w:p>
        </w:tc>
      </w:tr>
      <w:tr>
        <w:tc>
          <w:tcPr>
            <w:tcW w:type="dxa" w:w="22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Linux_Disk</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~50,000+</w:t>
            </w:r>
          </w:p>
        </w:tc>
        <w:tc>
          <w:tcPr>
            <w:tcW w:type="dxa" w:w="24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~650,000+</w:t>
            </w:r>
          </w:p>
        </w:tc>
        <w:tc>
          <w:tcPr>
            <w:tcW w:type="dxa" w:w="24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~1:13 (Normal:Attack)</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sz w:val="20"/>
                <w:szCs w:val="20"/>
              </w:rPr>
              <w:t xml:space="preserve">Linux_Process</w:t>
            </w:r>
          </w:p>
        </w:tc>
        <w:tc>
          <w:tcPr>
            <w:tcW w:type="dxa" w:w="2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~50,000+</w:t>
            </w:r>
          </w:p>
        </w:tc>
        <w:tc>
          <w:tcPr>
            <w:tcW w:type="dxa" w:w="24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~650,000+</w:t>
            </w:r>
          </w:p>
        </w:tc>
        <w:tc>
          <w:tcPr>
            <w:tcW w:type="dxa" w:w="24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~1:13 (Normal:Attack)</w:t>
            </w:r>
          </w:p>
        </w:tc>
      </w:tr>
      <w:tr>
        <w:tc>
          <w:tcPr>
            <w:tcW w:type="dxa" w:w="22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20"/>
                <w:szCs w:val="20"/>
              </w:rPr>
              <w:t xml:space="preserve">Linux_Memory</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~50,000+</w:t>
            </w:r>
          </w:p>
        </w:tc>
        <w:tc>
          <w:tcPr>
            <w:tcW w:type="dxa" w:w="24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~650,000+</w:t>
            </w:r>
          </w:p>
        </w:tc>
        <w:tc>
          <w:tcPr>
            <w:tcW w:type="dxa" w:w="24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~1:13 (Normal:Attack)</w:t>
            </w:r>
          </w:p>
        </w:tc>
      </w:tr>
    </w:tbl>
    <w:p>
      <w:pPr>
        <w:spacing w:after="160" w:before="60"/>
        <w:jc w:val="center"/>
      </w:pPr>
      <w:r>
        <w:rPr>
          <w:rFonts w:ascii="Arial" w:cs="Arial" w:eastAsia="Arial" w:hAnsi="Arial"/>
          <w:i/>
          <w:iCs/>
          <w:color w:val="555555"/>
          <w:sz w:val="18"/>
          <w:szCs w:val="18"/>
        </w:rPr>
        <w:t xml:space="preserve">Table 4.1 — Approximate class distribution per sub-dataset (exact counts in Description_stats_datasets)</w:t>
      </w:r>
    </w:p>
    <w:p>
      <w:pPr>
        <w:spacing w:after="80" w:before="80"/>
      </w:pPr>
      <w:r>
        <w:t xml:space="preserve"/>
      </w:r>
    </w:p>
    <w:p>
      <w:pPr>
        <w:spacing w:after="100" w:before="80"/>
      </w:pPr>
      <w:r>
        <w:rPr>
          <w:rFonts w:ascii="Arial" w:cs="Arial" w:eastAsia="Arial" w:hAnsi="Arial"/>
          <w:sz w:val="22"/>
          <w:szCs w:val="22"/>
        </w:rPr>
        <w:t xml:space="preserve">Note: The attack-heavy ratio (more attacks than normal records) is somewhat inverted compared to real-world network traffic, where benign traffic typically dominates. This is because the testbed actively generated attack scenarios over extended periods. For the multi-class breakdown, attack types including DoS, DDoS, and Scanning tend to generate the most records due to their high-frequency nature, while Ransomware and MITM contribute fewer but highly distinctive events. When training an LLM-based HIDS, the multi-class imbalance must be addressed during fine-tuning or in-context learning prompt design.</w:t>
      </w:r>
    </w:p>
    <w:p>
      <w:pPr>
        <w:pStyle w:val="Heading2"/>
        <w:spacing w:after="80" w:before="240"/>
      </w:pPr>
      <w:r>
        <w:rPr>
          <w:rFonts w:ascii="Arial" w:cs="Arial" w:eastAsia="Arial" w:hAnsi="Arial"/>
          <w:b/>
          <w:bCs/>
          <w:color w:val="2E75B6"/>
          <w:sz w:val="24"/>
          <w:szCs w:val="24"/>
        </w:rPr>
        <w:t xml:space="preserve">4.2 Data Quality &amp; Preprocessing Required</w:t>
      </w:r>
    </w:p>
    <w:p>
      <w:pPr>
        <w:pStyle w:val="ListParagraph"/>
        <w:numPr>
          <w:ilvl w:val="0"/>
          <w:numId w:val="2"/>
        </w:numPr>
        <w:spacing w:after="60" w:before="40"/>
      </w:pPr>
      <w:r>
        <w:rPr>
          <w:rFonts w:ascii="Arial" w:cs="Arial" w:eastAsia="Arial" w:hAnsi="Arial"/>
          <w:b w:val="false"/>
          <w:bCs w:val="false"/>
          <w:sz w:val="22"/>
          <w:szCs w:val="22"/>
        </w:rPr>
        <w:t xml:space="preserve">Missing Values (NaN): The atop tool may produce empty fields for optional metrics (e.g., RTPR for non-real-time processes reports 0, which is valid, not missing). Some process entries may have NaN in exit-code fields (EXC) for running processes — these should be imputed with 0.</w:t>
      </w:r>
    </w:p>
    <w:p>
      <w:pPr>
        <w:pStyle w:val="ListParagraph"/>
        <w:numPr>
          <w:ilvl w:val="0"/>
          <w:numId w:val="2"/>
        </w:numPr>
        <w:spacing w:after="60" w:before="40"/>
      </w:pPr>
      <w:r>
        <w:rPr>
          <w:rFonts w:ascii="Arial" w:cs="Arial" w:eastAsia="Arial" w:hAnsi="Arial"/>
          <w:b w:val="false"/>
          <w:bCs w:val="false"/>
          <w:sz w:val="22"/>
          <w:szCs w:val="22"/>
        </w:rPr>
        <w:t xml:space="preserve">Infinite Values (Inf): Not applicable to this dataset since all features are direct hardware counters and percentage values bounded by physical system capacity.</w:t>
      </w:r>
    </w:p>
    <w:p>
      <w:pPr>
        <w:pStyle w:val="ListParagraph"/>
        <w:numPr>
          <w:ilvl w:val="0"/>
          <w:numId w:val="2"/>
        </w:numPr>
        <w:spacing w:after="60" w:before="40"/>
      </w:pPr>
      <w:r>
        <w:rPr>
          <w:rFonts w:ascii="Arial" w:cs="Arial" w:eastAsia="Arial" w:hAnsi="Arial"/>
          <w:b w:val="false"/>
          <w:bCs w:val="false"/>
          <w:sz w:val="22"/>
          <w:szCs w:val="22"/>
        </w:rPr>
        <w:t xml:space="preserve">Redundant/Correlated Features: VSIZE and RSIZE (memory) are strongly correlated. VGROW and RGROW are derived from VSIZE/RSIZE deltas. PRI and NICE are linearly related for time-sharing processes. Feature selection using mutual information or PCA is advisable before training.</w:t>
      </w:r>
    </w:p>
    <w:p>
      <w:pPr>
        <w:pStyle w:val="ListParagraph"/>
        <w:numPr>
          <w:ilvl w:val="0"/>
          <w:numId w:val="2"/>
        </w:numPr>
        <w:spacing w:after="60" w:before="40"/>
      </w:pPr>
      <w:r>
        <w:rPr>
          <w:rFonts w:ascii="Arial" w:cs="Arial" w:eastAsia="Arial" w:hAnsi="Arial"/>
          <w:b w:val="false"/>
          <w:bCs w:val="false"/>
          <w:sz w:val="22"/>
          <w:szCs w:val="22"/>
        </w:rPr>
        <w:t xml:space="preserve">Categorical Encoding: CMD (process name), POLI (scheduling policy), and State are string-type and require label encoding or embedding before being fed to classical ML. For deep learning or LLM-based approaches, these strings can be tokenised directly as contextual information.</w:t>
      </w:r>
    </w:p>
    <w:p>
      <w:pPr>
        <w:pStyle w:val="ListParagraph"/>
        <w:numPr>
          <w:ilvl w:val="0"/>
          <w:numId w:val="2"/>
        </w:numPr>
        <w:spacing w:after="60" w:before="40"/>
      </w:pPr>
      <w:r>
        <w:rPr>
          <w:rFonts w:ascii="Arial" w:cs="Arial" w:eastAsia="Arial" w:hAnsi="Arial"/>
          <w:b w:val="false"/>
          <w:bCs w:val="false"/>
          <w:sz w:val="22"/>
          <w:szCs w:val="22"/>
        </w:rPr>
        <w:t xml:space="preserve">PID Join: To use all three sub-datasets together, an inner join on PID (and optionally timestamp) is required to produce a unified 27-feature record per process snapshot.</w:t>
      </w:r>
    </w:p>
    <w:p>
      <w:pPr>
        <w:pStyle w:val="ListParagraph"/>
        <w:numPr>
          <w:ilvl w:val="0"/>
          <w:numId w:val="2"/>
        </w:numPr>
        <w:spacing w:after="60" w:before="40"/>
      </w:pPr>
      <w:r>
        <w:rPr>
          <w:rFonts w:ascii="Arial" w:cs="Arial" w:eastAsia="Arial" w:hAnsi="Arial"/>
          <w:b w:val="false"/>
          <w:bCs w:val="false"/>
          <w:sz w:val="22"/>
          <w:szCs w:val="22"/>
        </w:rPr>
        <w:t xml:space="preserve">Normalisation: Numerical features spanning wide ranges (e.g., VSIZE in bytes vs. MEM as a percentage) benefit from min-max scaling or standard normalisation prior to distance-based and gradient-descent algorithms.</w:t>
      </w:r>
    </w:p>
    <w:p>
      <w:pPr>
        <w:pStyle w:val="Heading2"/>
        <w:spacing w:after="80" w:before="240"/>
      </w:pPr>
      <w:r>
        <w:rPr>
          <w:rFonts w:ascii="Arial" w:cs="Arial" w:eastAsia="Arial" w:hAnsi="Arial"/>
          <w:b/>
          <w:bCs/>
          <w:color w:val="2E75B6"/>
          <w:sz w:val="24"/>
          <w:szCs w:val="24"/>
        </w:rPr>
        <w:t xml:space="preserve">4.3 Feature Types</w:t>
      </w:r>
    </w:p>
    <w:p>
      <w:pPr>
        <w:spacing w:after="100" w:before="80"/>
      </w:pPr>
      <w:r>
        <w:rPr>
          <w:rFonts w:ascii="Arial" w:cs="Arial" w:eastAsia="Arial" w:hAnsi="Arial"/>
          <w:sz w:val="22"/>
          <w:szCs w:val="22"/>
        </w:rPr>
        <w:t xml:space="preserve">The distribution of feature data types across all three sub-datasets is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Features &amp; Sub-Datasets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Numerical (int/float)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PID, RDDSK, WRDSK, WCANCL, DSK (Disk); TRUN, TSLPI, TSLPU, NICE, PRI, RTPR, CPUNR, Status, EXC, CPU (Process); MINFLT, MAJFLT, VSTEXT, VSIZE, RSIZE, VGROW, RGROW, MEM (Memory)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Categorical (string)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CMD — all three sub-datasets; POLI, State — Process sub-dataset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Binary label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label — all three sub-datasets (0 or 1)</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Multi-class label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type — all three sub-datasets (10 string categories)</w:t>
            </w:r>
          </w:p>
        </w:tc>
      </w:tr>
    </w:tbl>
    <w:p>
      <w:pPr>
        <w:spacing w:after="80" w:before="80"/>
      </w:pPr>
      <w:r>
        <w:t xml:space="preserve"/>
      </w:r>
    </w:p>
    <w:p>
      <w:pPr>
        <w:spacing w:after="100" w:before="80"/>
      </w:pPr>
      <w:r>
        <w:rPr>
          <w:rFonts w:ascii="Arial" w:cs="Arial" w:eastAsia="Arial" w:hAnsi="Arial"/>
          <w:sz w:val="22"/>
          <w:szCs w:val="22"/>
        </w:rPr>
        <w:t xml:space="preserve">Approximately 85% of independent features are numerical, making this dataset inherently suited for tabular ML methods. The remaining ~15% are categorical strings requiring preprocessing.</w:t>
      </w:r>
    </w:p>
    <w:p>
      <w:pPr>
        <w:pStyle w:val="Heading1"/>
        <w:pBdr>
          <w:bottom w:val="single" w:color="2E75B6" w:sz="6" w:space="1"/>
        </w:pBdr>
        <w:spacing w:after="120" w:before="320"/>
      </w:pPr>
      <w:r>
        <w:rPr>
          <w:rFonts w:ascii="Arial" w:cs="Arial" w:eastAsia="Arial" w:hAnsi="Arial"/>
          <w:b/>
          <w:bCs/>
          <w:color w:val="1F3864"/>
          <w:sz w:val="28"/>
          <w:szCs w:val="28"/>
        </w:rPr>
        <w:t xml:space="preserve">5. Machine Learning Suitability &amp; Justification</w:t>
      </w:r>
    </w:p>
    <w:p>
      <w:pPr>
        <w:pStyle w:val="Heading2"/>
        <w:spacing w:after="80" w:before="240"/>
      </w:pPr>
      <w:r>
        <w:rPr>
          <w:rFonts w:ascii="Arial" w:cs="Arial" w:eastAsia="Arial" w:hAnsi="Arial"/>
          <w:b/>
          <w:bCs/>
          <w:color w:val="2E75B6"/>
          <w:sz w:val="24"/>
          <w:szCs w:val="24"/>
        </w:rPr>
        <w:t xml:space="preserve">5.1 Representation of the Technique</w:t>
      </w:r>
    </w:p>
    <w:p>
      <w:pPr>
        <w:spacing w:after="100" w:before="80"/>
      </w:pPr>
      <w:r>
        <w:rPr>
          <w:rFonts w:ascii="Arial" w:cs="Arial" w:eastAsia="Arial" w:hAnsi="Arial"/>
          <w:sz w:val="22"/>
          <w:szCs w:val="22"/>
        </w:rPr>
        <w:t xml:space="preserve">The TON_IoT Linux dataset is exceptionally well-suited for training a host-based intrusion detection LLM because it captures the precise OS-level behavioural footprint that distinguishes malicious from benign host activity. Specifically:</w:t>
      </w:r>
    </w:p>
    <w:p>
      <w:pPr>
        <w:pStyle w:val="ListParagraph"/>
        <w:numPr>
          <w:ilvl w:val="0"/>
          <w:numId w:val="2"/>
        </w:numPr>
        <w:spacing w:after="60" w:before="40"/>
      </w:pPr>
      <w:r>
        <w:rPr>
          <w:rFonts w:ascii="Arial" w:cs="Arial" w:eastAsia="Arial" w:hAnsi="Arial"/>
          <w:b w:val="false"/>
          <w:bCs w:val="false"/>
          <w:sz w:val="22"/>
          <w:szCs w:val="22"/>
        </w:rPr>
        <w:t xml:space="preserve">Ransomware and Backdoor attacks produce distinctive disk write spikes (WRDSK) and anomalous process trees (unusual CMD names spawned by Metasploit payloads), which are clearly reflected in the Disk and Process sub-datasets.</w:t>
      </w:r>
    </w:p>
    <w:p>
      <w:pPr>
        <w:pStyle w:val="ListParagraph"/>
        <w:numPr>
          <w:ilvl w:val="0"/>
          <w:numId w:val="2"/>
        </w:numPr>
        <w:spacing w:after="60" w:before="40"/>
      </w:pPr>
      <w:r>
        <w:rPr>
          <w:rFonts w:ascii="Arial" w:cs="Arial" w:eastAsia="Arial" w:hAnsi="Arial"/>
          <w:b w:val="false"/>
          <w:bCs w:val="false"/>
          <w:sz w:val="22"/>
          <w:szCs w:val="22"/>
        </w:rPr>
        <w:t xml:space="preserve">DoS and DDoS attacks, even when primarily network-oriented, create measurable CPU saturation (high CPU values in the Process sub-dataset) and memory pressure (rising VGROW/RGROW in the Memory sub-dataset) on the victim Ubuntu servers.</w:t>
      </w:r>
    </w:p>
    <w:p>
      <w:pPr>
        <w:pStyle w:val="ListParagraph"/>
        <w:numPr>
          <w:ilvl w:val="0"/>
          <w:numId w:val="2"/>
        </w:numPr>
        <w:spacing w:after="60" w:before="40"/>
      </w:pPr>
      <w:r>
        <w:rPr>
          <w:rFonts w:ascii="Arial" w:cs="Arial" w:eastAsia="Arial" w:hAnsi="Arial"/>
          <w:b w:val="false"/>
          <w:bCs w:val="false"/>
          <w:sz w:val="22"/>
          <w:szCs w:val="22"/>
        </w:rPr>
        <w:t xml:space="preserve">Password brute-force attacks (Hydra) generate repeated short-lived process invocations logged under CMD entries such as sshd or login, producing distinctive TRUN/TSLPI thread patterns in the Process sub-dataset.</w:t>
      </w:r>
    </w:p>
    <w:p>
      <w:pPr>
        <w:pStyle w:val="ListParagraph"/>
        <w:numPr>
          <w:ilvl w:val="0"/>
          <w:numId w:val="2"/>
        </w:numPr>
        <w:spacing w:after="60" w:before="40"/>
      </w:pPr>
      <w:r>
        <w:rPr>
          <w:rFonts w:ascii="Arial" w:cs="Arial" w:eastAsia="Arial" w:hAnsi="Arial"/>
          <w:b w:val="false"/>
          <w:bCs w:val="false"/>
          <w:sz w:val="22"/>
          <w:szCs w:val="22"/>
        </w:rPr>
        <w:t xml:space="preserve">Injection and XSS attacks targeting web applications running on the Ubuntu servers (Apache, Node.js) create abnormal memory allocation patterns (elevated MAJFLT, VSIZE) in the Memory sub-dataset as the web server processes malformed inputs.</w:t>
      </w:r>
    </w:p>
    <w:p>
      <w:pPr>
        <w:pStyle w:val="ListParagraph"/>
        <w:numPr>
          <w:ilvl w:val="0"/>
          <w:numId w:val="2"/>
        </w:numPr>
        <w:spacing w:after="60" w:before="40"/>
      </w:pPr>
      <w:r>
        <w:rPr>
          <w:rFonts w:ascii="Arial" w:cs="Arial" w:eastAsia="Arial" w:hAnsi="Arial"/>
          <w:b w:val="false"/>
          <w:bCs w:val="false"/>
          <w:sz w:val="22"/>
          <w:szCs w:val="22"/>
        </w:rPr>
        <w:t xml:space="preserve">MITM attacks (Ettercap) running on the same VM segment produce network-related process entries and unusual scheduling behaviour observable in the Process sub-dataset.</w:t>
      </w:r>
    </w:p>
    <w:p>
      <w:pPr>
        <w:spacing w:after="100" w:before="80"/>
      </w:pPr>
      <w:r>
        <w:rPr>
          <w:rFonts w:ascii="Arial" w:cs="Arial" w:eastAsia="Arial" w:hAnsi="Arial"/>
          <w:sz w:val="22"/>
          <w:szCs w:val="22"/>
        </w:rPr>
        <w:t xml:space="preserve">The multi-source design (disk + process + memory) ensures that stealthy attacks that evade any single telemetry source are captured by another, providing the LLM with a rich, multi-dimensional context window for accurate classification and natural language explanation generation.</w:t>
      </w:r>
    </w:p>
    <w:p>
      <w:pPr>
        <w:pStyle w:val="Heading2"/>
        <w:spacing w:after="80" w:before="240"/>
      </w:pPr>
      <w:r>
        <w:rPr>
          <w:rFonts w:ascii="Arial" w:cs="Arial" w:eastAsia="Arial" w:hAnsi="Arial"/>
          <w:b/>
          <w:bCs/>
          <w:color w:val="2E75B6"/>
          <w:sz w:val="24"/>
          <w:szCs w:val="24"/>
        </w:rPr>
        <w:t xml:space="preserve">5.2 Suitability for Deep Learning vs. Classical ML</w:t>
      </w:r>
    </w:p>
    <w:p>
      <w:pPr>
        <w:spacing w:after="100" w:before="80"/>
      </w:pPr>
      <w:r>
        <w:rPr>
          <w:rFonts w:ascii="Arial" w:cs="Arial" w:eastAsia="Arial" w:hAnsi="Arial"/>
          <w:sz w:val="22"/>
          <w:szCs w:val="22"/>
        </w:rPr>
        <w:t xml:space="preserve">The TON_IoT Linux dataset is well-suited for both paradigms, but the intended use as a training corpus for an LLM-based HIDS introduces specific architectural considerations: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4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Classical ML (RF, SVM, XGBoost)</w:t>
            </w:r>
          </w:p>
        </w:tc>
        <w:tc>
          <w:tcPr>
            <w:tcW w:type="dxa" w:w="34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Deep Learning / LLM</w:t>
            </w:r>
          </w:p>
        </w:tc>
      </w:tr>
      <w:tr>
        <w:tc>
          <w:tcPr>
            <w:tcW w:type="dxa" w:w="2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19"/>
                <w:szCs w:val="19"/>
              </w:rPr>
              <w:t xml:space="preserve">Input Format</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9"/>
                <w:szCs w:val="19"/>
              </w:rPr>
              <w:t xml:space="preserve">Tabular CSV — all features numerically encoded. Well-suited due to the predominantly numerical schema.</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9"/>
                <w:szCs w:val="19"/>
              </w:rPr>
              <w:t xml:space="preserve">CSV features can be serialised as structured text prompts or embedded as token sequences. CMD strings are native tokens for LLMs.</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sz w:val="19"/>
                <w:szCs w:val="19"/>
              </w:rPr>
              <w:t xml:space="preserve">Volume</w:t>
            </w:r>
          </w:p>
        </w:tc>
        <w:tc>
          <w:tcPr>
            <w:tcW w:type="dxa" w:w="343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19"/>
                <w:szCs w:val="19"/>
              </w:rPr>
              <w:t xml:space="preserve">100K–700K records are well within the capacity of tree-based methods without GPU requirements.</w:t>
            </w:r>
          </w:p>
        </w:tc>
        <w:tc>
          <w:tcPr>
            <w:tcW w:type="dxa" w:w="343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19"/>
                <w:szCs w:val="19"/>
              </w:rPr>
              <w:t xml:space="preserve">Subset sampling or retrieval-augmented approaches recommended for LLM fine-tuning given context window limits.</w:t>
            </w:r>
          </w:p>
        </w:tc>
      </w:tr>
      <w:tr>
        <w:tc>
          <w:tcPr>
            <w:tcW w:type="dxa" w:w="2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19"/>
                <w:szCs w:val="19"/>
              </w:rPr>
              <w:t xml:space="preserve">Temporal Context</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9"/>
                <w:szCs w:val="19"/>
              </w:rPr>
              <w:t xml:space="preserve">Random Forests treat each record independently; temporal ordering is ignored.</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9"/>
                <w:szCs w:val="19"/>
              </w:rPr>
              <w:t xml:space="preserve">LSTMs or Transformer decoders capture sequential process behaviour across consecutive atop snapshots, important for detecting slow-burn attacks.</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b/>
                <w:bCs/>
                <w:sz w:val="19"/>
                <w:szCs w:val="19"/>
              </w:rPr>
              <w:t xml:space="preserve">Interpretability</w:t>
            </w:r>
          </w:p>
        </w:tc>
        <w:tc>
          <w:tcPr>
            <w:tcW w:type="dxa" w:w="343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19"/>
                <w:szCs w:val="19"/>
              </w:rPr>
              <w:t xml:space="preserve">Feature importance from Random Forests directly identifies the most discriminating host features.</w:t>
            </w:r>
          </w:p>
        </w:tc>
        <w:tc>
          <w:tcPr>
            <w:tcW w:type="dxa" w:w="343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19"/>
                <w:szCs w:val="19"/>
              </w:rPr>
              <w:t xml:space="preserve">LLMs can generate natural language explanations of detections, fulfilling the stated HIDS goal of an explainable AI system.</w:t>
            </w:r>
          </w:p>
        </w:tc>
      </w:tr>
      <w:tr>
        <w:tc>
          <w:tcPr>
            <w:tcW w:type="dxa" w:w="2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Arial" w:cs="Arial" w:eastAsia="Arial" w:hAnsi="Arial"/>
                <w:b/>
                <w:bCs/>
                <w:sz w:val="19"/>
                <w:szCs w:val="19"/>
              </w:rPr>
              <w:t xml:space="preserve">Accuracy Benchmark</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9"/>
                <w:szCs w:val="19"/>
              </w:rPr>
              <w:t xml:space="preserve">Moustafa et al. (2020) report &gt;98% accuracy using k-NN on the Linux sub-datasets, confirming classical ML viability.</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9"/>
                <w:szCs w:val="19"/>
              </w:rPr>
              <w:t xml:space="preserve">Expected to achieve comparable detection with the added benefit of contextual reasoning about attack patterns.</w:t>
            </w:r>
          </w:p>
        </w:tc>
      </w:tr>
    </w:tbl>
    <w:p>
      <w:pPr>
        <w:spacing w:after="160" w:before="60"/>
        <w:jc w:val="center"/>
      </w:pPr>
      <w:r>
        <w:rPr>
          <w:rFonts w:ascii="Arial" w:cs="Arial" w:eastAsia="Arial" w:hAnsi="Arial"/>
          <w:i/>
          <w:iCs/>
          <w:color w:val="555555"/>
          <w:sz w:val="18"/>
          <w:szCs w:val="18"/>
        </w:rPr>
        <w:t xml:space="preserve">Table 5.2 — Comparative suitability of Classical ML vs. Deep Learning / LLM for TON_IoT Linux</w:t>
      </w:r>
    </w:p>
    <w:p>
      <w:pPr>
        <w:spacing w:after="80" w:before="80"/>
      </w:pPr>
      <w:r>
        <w:t xml:space="preserve"/>
      </w:r>
    </w:p>
    <w:p>
      <w:pPr>
        <w:spacing w:after="100" w:before="80"/>
      </w:pPr>
      <w:r>
        <w:rPr>
          <w:rFonts w:ascii="Arial" w:cs="Arial" w:eastAsia="Arial" w:hAnsi="Arial"/>
          <w:sz w:val="22"/>
          <w:szCs w:val="22"/>
        </w:rPr>
        <w:t xml:space="preserve">Given the goal of building an LLM-powered HIDS, the recommended pipeline is: (1) use XGBoost or Random Forest as a fast, high-accuracy classification head for real-time binary detection; (2) feed flagged records as structured natural language prompts to the LLM for multi-class attribution and explanation generation. This hybrid architecture leverages the tabular strengths of classical ML and the reasoning strengths of LLMs.</w:t>
      </w:r>
    </w:p>
    <w:p>
      <w:pPr>
        <w:pStyle w:val="Heading2"/>
        <w:spacing w:after="80" w:before="240"/>
      </w:pPr>
      <w:r>
        <w:rPr>
          <w:rFonts w:ascii="Arial" w:cs="Arial" w:eastAsia="Arial" w:hAnsi="Arial"/>
          <w:b/>
          <w:bCs/>
          <w:color w:val="2E75B6"/>
          <w:sz w:val="24"/>
          <w:szCs w:val="24"/>
        </w:rPr>
        <w:t xml:space="preserve">5.3 Known Limitations &amp; Biases</w:t>
      </w:r>
    </w:p>
    <w:p>
      <w:pPr>
        <w:pStyle w:val="ListParagraph"/>
        <w:numPr>
          <w:ilvl w:val="0"/>
          <w:numId w:val="2"/>
        </w:numPr>
        <w:spacing w:after="60" w:before="40"/>
      </w:pPr>
      <w:r>
        <w:rPr>
          <w:rFonts w:ascii="Arial" w:cs="Arial" w:eastAsia="Arial" w:hAnsi="Arial"/>
          <w:b w:val="false"/>
          <w:bCs w:val="false"/>
          <w:sz w:val="22"/>
          <w:szCs w:val="22"/>
        </w:rPr>
        <w:t xml:space="preserve">Lab Environment Bias: The testbed was a controlled virtual environment at UNSW Canberra. The Ubuntu process landscape (CMD feature) reflects the specific services deployed in the testbed (Kerberos, Ostinato, MQTT). This may introduce CMD-specific overfitting when deployed on production Linux servers with different process catalogues. Mitigation: treat CMD as a low-weight feature or exclude it and focus on numerical hardware counters that generalise across environments.</w:t>
      </w:r>
    </w:p>
    <w:p>
      <w:pPr>
        <w:pStyle w:val="ListParagraph"/>
        <w:numPr>
          <w:ilvl w:val="0"/>
          <w:numId w:val="2"/>
        </w:numPr>
        <w:spacing w:after="60" w:before="40"/>
      </w:pPr>
      <w:r>
        <w:rPr>
          <w:rFonts w:ascii="Arial" w:cs="Arial" w:eastAsia="Arial" w:hAnsi="Arial"/>
          <w:b w:val="false"/>
          <w:bCs w:val="false"/>
          <w:sz w:val="22"/>
          <w:szCs w:val="22"/>
        </w:rPr>
        <w:t xml:space="preserve">Absence of Zero-Day and APT Techniques: All nine attack families are well-known and tool-specific. The dataset does not include living-off-the-land (LotL) techniques, supply-chain compromise, or novel CVE exploitation. Mitigation: supplement training with anomaly-based approaches (autoencoders, isolation forests) that detect statistical deviation without requiring labelled examples of new attack types.</w:t>
      </w:r>
    </w:p>
    <w:p>
      <w:pPr>
        <w:pStyle w:val="ListParagraph"/>
        <w:numPr>
          <w:ilvl w:val="0"/>
          <w:numId w:val="2"/>
        </w:numPr>
        <w:spacing w:after="60" w:before="40"/>
      </w:pPr>
      <w:r>
        <w:rPr>
          <w:rFonts w:ascii="Arial" w:cs="Arial" w:eastAsia="Arial" w:hAnsi="Arial"/>
          <w:b w:val="false"/>
          <w:bCs w:val="false"/>
          <w:sz w:val="22"/>
          <w:szCs w:val="22"/>
        </w:rPr>
        <w:t xml:space="preserve">No Payload or Syscall Sequences: Unlike the ADFA-LD dataset, the TON_IoT Linux dataset does not capture system call sequences. Sequence-level attacks that blend into normal process statistics may be underrepresented. Mitigation: complement with the TON_IoT Network dataset to correlate host-level anomalies with concurrent network events.</w:t>
      </w:r>
    </w:p>
    <w:p>
      <w:pPr>
        <w:pStyle w:val="ListParagraph"/>
        <w:numPr>
          <w:ilvl w:val="0"/>
          <w:numId w:val="2"/>
        </w:numPr>
        <w:spacing w:after="60" w:before="40"/>
      </w:pPr>
      <w:r>
        <w:rPr>
          <w:rFonts w:ascii="Arial" w:cs="Arial" w:eastAsia="Arial" w:hAnsi="Arial"/>
          <w:b w:val="false"/>
          <w:bCs w:val="false"/>
          <w:sz w:val="22"/>
          <w:szCs w:val="22"/>
        </w:rPr>
        <w:t xml:space="preserve">Timestamp Granularity: The atop tool captures snapshots at fixed polling intervals (typically every few seconds). High-speed attacks (e.g., SYN floods) may appear as a single elevated-CPU snapshot rather than a temporal sequence, limiting LSTM-based detection. Mitigation: reduce atop polling interval during future data collection, or apply rolling-window feature aggregation.</w:t>
      </w:r>
    </w:p>
    <w:p>
      <w:pPr>
        <w:pStyle w:val="ListParagraph"/>
        <w:numPr>
          <w:ilvl w:val="0"/>
          <w:numId w:val="2"/>
        </w:numPr>
        <w:spacing w:after="60" w:before="40"/>
      </w:pPr>
      <w:r>
        <w:rPr>
          <w:rFonts w:ascii="Arial" w:cs="Arial" w:eastAsia="Arial" w:hAnsi="Arial"/>
          <w:b w:val="false"/>
          <w:bCs w:val="false"/>
          <w:sz w:val="22"/>
          <w:szCs w:val="22"/>
        </w:rPr>
        <w:t xml:space="preserve">Attack Volume Inflation: The research team deliberately generated high volumes of attack traffic across all nine categories, resulting in more attack records than normal records. This inverts the natural rarity of attacks in real networks and may cause ML models to overestimate attack prevalence. Mitigation: apply under-sampling of attack records or class-weighted loss functions to restore ecological validity.</w:t>
      </w:r>
    </w:p>
    <w:p>
      <w:pPr>
        <w:pStyle w:val="ListParagraph"/>
        <w:numPr>
          <w:ilvl w:val="0"/>
          <w:numId w:val="2"/>
        </w:numPr>
        <w:spacing w:after="60" w:before="40"/>
      </w:pPr>
      <w:r>
        <w:rPr>
          <w:rFonts w:ascii="Arial" w:cs="Arial" w:eastAsia="Arial" w:hAnsi="Arial"/>
          <w:b w:val="false"/>
          <w:bCs w:val="false"/>
          <w:sz w:val="22"/>
          <w:szCs w:val="22"/>
        </w:rPr>
        <w:t xml:space="preserve">Ubuntu Version Gap: The dataset was collected on Ubuntu 14.04 LTS (which reached end-of-life in April 2019) and Ubuntu 18.04 LTS. Modern deployments on Ubuntu 22.04 or 24.04 may exhibit different default process behaviour. Mitigation: use the dataset for pretraining and perform transfer learning on a small sample of in-production normal traces to adapt the model to the target Ubuntu version.</w:t>
      </w:r>
    </w:p>
    <w:p>
      <w:pPr>
        <w:spacing w:after="80" w:before="80"/>
      </w:pPr>
      <w:r>
        <w:t xml:space="preserve"/>
      </w:r>
    </w:p>
    <w:p>
      <w:pPr>
        <w:pStyle w:val="Heading1"/>
        <w:pBdr>
          <w:bottom w:val="single" w:color="2E75B6" w:sz="6" w:space="1"/>
        </w:pBdr>
        <w:spacing w:after="120" w:before="320"/>
      </w:pPr>
      <w:r>
        <w:rPr>
          <w:rFonts w:ascii="Arial" w:cs="Arial" w:eastAsia="Arial" w:hAnsi="Arial"/>
          <w:b/>
          <w:bCs/>
          <w:color w:val="1F3864"/>
          <w:sz w:val="28"/>
          <w:szCs w:val="28"/>
        </w:rPr>
        <w:t xml:space="preserve">6. References</w:t>
      </w:r>
    </w:p>
    <w:p>
      <w:pPr>
        <w:spacing w:after="100" w:before="80"/>
      </w:pPr>
      <w:r>
        <w:rPr>
          <w:rFonts w:ascii="Arial" w:cs="Arial" w:eastAsia="Arial" w:hAnsi="Arial"/>
          <w:sz w:val="22"/>
          <w:szCs w:val="22"/>
        </w:rPr>
        <w:t xml:space="preserve">The following references should be cited when using the TON_IoT Linux dataset in academic work:</w:t>
      </w:r>
    </w:p>
    <w:p>
      <w:pPr>
        <w:spacing w:after="80" w:before="80"/>
      </w:pPr>
      <w:r>
        <w:t xml:space="preserve"/>
      </w:r>
    </w:p>
    <w:p>
      <w:pPr>
        <w:pStyle w:val="ListParagraph"/>
        <w:numPr>
          <w:ilvl w:val="0"/>
          <w:numId w:val="4"/>
        </w:numPr>
        <w:spacing w:after="100" w:before="60"/>
      </w:pPr>
      <w:r>
        <w:rPr>
          <w:rFonts w:ascii="Arial" w:cs="Arial" w:eastAsia="Arial" w:hAnsi="Arial"/>
          <w:sz w:val="20"/>
          <w:szCs w:val="20"/>
        </w:rPr>
        <w:t xml:space="preserve">Moustafa, N., Ahmed, M., and Ahmed, S. "Data Analytics-Enabled Intrusion Detection: Evaluations of ToN_IoT Linux Datasets." 2020 IEEE 19th International Conference on Trust, Security and Privacy in Computing and Communications (TrustCom), 2020, pp. 727–735. DOI: 10.1109/TrustCom50675.2020.00100. (Public access: https://arxiv.org/abs/2010.08521)</w:t>
      </w:r>
    </w:p>
    <w:p>
      <w:pPr>
        <w:pStyle w:val="ListParagraph"/>
        <w:numPr>
          <w:ilvl w:val="0"/>
          <w:numId w:val="4"/>
        </w:numPr>
        <w:spacing w:after="100" w:before="60"/>
      </w:pPr>
      <w:r>
        <w:rPr>
          <w:rFonts w:ascii="Arial" w:cs="Arial" w:eastAsia="Arial" w:hAnsi="Arial"/>
          <w:sz w:val="20"/>
          <w:szCs w:val="20"/>
        </w:rPr>
        <w:t xml:space="preserve">Moustafa, N. "A New Distributed Architecture for Evaluating AI-based Security Systems at the Edge: Network TON_IoT Datasets." Sustainable Cities and Society (2021): 102994. DOI: 10.1016/j.scs.2021.102994.</w:t>
      </w:r>
    </w:p>
    <w:p>
      <w:pPr>
        <w:pStyle w:val="ListParagraph"/>
        <w:numPr>
          <w:ilvl w:val="0"/>
          <w:numId w:val="4"/>
        </w:numPr>
        <w:spacing w:after="100" w:before="60"/>
      </w:pPr>
      <w:r>
        <w:rPr>
          <w:rFonts w:ascii="Arial" w:cs="Arial" w:eastAsia="Arial" w:hAnsi="Arial"/>
          <w:sz w:val="20"/>
          <w:szCs w:val="20"/>
        </w:rPr>
        <w:t xml:space="preserve">Booij, T.M., Chiscop, I., Meeuwissen, E., Moustafa, N., and den Hartog, F.T.H. "ToN IoT: The Role of Heterogeneity and the Need for Standardization of Features and Attack Types in IoT Network Intrusion Datasets." IEEE Internet of Things Journal (2021). DOI: 10.1109/JIOT.2021.3085194.</w:t>
      </w:r>
    </w:p>
    <w:p>
      <w:pPr>
        <w:pStyle w:val="ListParagraph"/>
        <w:numPr>
          <w:ilvl w:val="0"/>
          <w:numId w:val="4"/>
        </w:numPr>
        <w:spacing w:after="100" w:before="60"/>
      </w:pPr>
      <w:r>
        <w:rPr>
          <w:rFonts w:ascii="Arial" w:cs="Arial" w:eastAsia="Arial" w:hAnsi="Arial"/>
          <w:sz w:val="20"/>
          <w:szCs w:val="20"/>
        </w:rPr>
        <w:t xml:space="preserve">Alsaedi, A., Moustafa, N., Tari, Z., Mahmood, A., and Anwar, A. "TON_IoT Telemetry Dataset: A New Generation Dataset of IoT and IIoT for Data-Driven Intrusion Detection Systems." IEEE Access 8 (2020): 165130–165150. DOI: 10.1109/ACCESS.2020.3022862.</w:t>
      </w:r>
    </w:p>
    <w:p>
      <w:pPr>
        <w:pStyle w:val="ListParagraph"/>
        <w:numPr>
          <w:ilvl w:val="0"/>
          <w:numId w:val="4"/>
        </w:numPr>
        <w:spacing w:after="100" w:before="60"/>
      </w:pPr>
      <w:r>
        <w:rPr>
          <w:rFonts w:ascii="Arial" w:cs="Arial" w:eastAsia="Arial" w:hAnsi="Arial"/>
          <w:sz w:val="20"/>
          <w:szCs w:val="20"/>
        </w:rPr>
        <w:t xml:space="preserve">Moustafa, N. "New Generations of Internet of Things Datasets for Cybersecurity Applications based Machine Learning: TON_IoT Datasets." Proceedings of the eResearch Australasia Conference, Brisbane, Australia, 2019.</w:t>
      </w:r>
    </w:p>
    <w:p>
      <w:pPr>
        <w:pStyle w:val="ListParagraph"/>
        <w:numPr>
          <w:ilvl w:val="0"/>
          <w:numId w:val="4"/>
        </w:numPr>
        <w:spacing w:after="100" w:before="60"/>
      </w:pPr>
      <w:r>
        <w:rPr>
          <w:rFonts w:ascii="Arial" w:cs="Arial" w:eastAsia="Arial" w:hAnsi="Arial"/>
          <w:sz w:val="20"/>
          <w:szCs w:val="20"/>
        </w:rPr>
        <w:t xml:space="preserve">Official Dataset Repository: UNSW Research — The TON_IoT Datasets. Available at: https://research.unsw.edu.au/projects/toniot-datasets. Download via UNSW SharePoint (link on dataset page). Last Updated: 02 June 2021.</w:t>
      </w:r>
    </w:p>
    <w:p>
      <w:pPr>
        <w:spacing w:after="80" w:before="80"/>
      </w:pPr>
      <w:r>
        <w:t xml:space="preserve"/>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120"/>
    </w:pPr>
    <w:r>
      <w:rPr>
        <w:rFonts w:ascii="Arial" w:cs="Arial" w:eastAsia="Arial" w:hAnsi="Arial"/>
        <w:color w:val="888888"/>
        <w:sz w:val="16"/>
        <w:szCs w:val="16"/>
      </w:rPr>
      <w:t xml:space="preserve">UNSW Canberra @ ADFA  •  Cyber Security Research</w:t>
    </w:r>
    <w:r>
      <w:rPr>
        <w:rFonts w:ascii="Arial" w:cs="Arial" w:eastAsia="Arial" w:hAnsi="Arial"/>
        <w:color w:val="888888"/>
        <w:sz w:val="16"/>
        <w:szCs w:val="16"/>
      </w:rPr>
      <w:t xml:space="preserve">	Page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555555"/>
        <w:sz w:val="18"/>
        <w:szCs w:val="18"/>
      </w:rPr>
      <w:t xml:space="preserve">Machine Learning Dataset Profile</w:t>
    </w:r>
    <w:r>
      <w:rPr>
        <w:rFonts w:ascii="Arial" w:cs="Arial" w:eastAsia="Arial" w:hAnsi="Arial"/>
        <w:color w:val="2E75B6"/>
        <w:sz w:val="18"/>
        <w:szCs w:val="18"/>
      </w:rPr>
      <w:t xml:space="preserve">    |    TON_IoT Linux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2026-06-07T19:15:19.156Z</dcterms:created>
  <dcterms:modified xsi:type="dcterms:W3CDTF">2026-06-07T19:15:19.157Z</dcterms:modified>
</cp:coreProperties>
</file>

<file path=docProps/custom.xml><?xml version="1.0" encoding="utf-8"?>
<Properties xmlns="http://schemas.openxmlformats.org/officeDocument/2006/custom-properties" xmlns:vt="http://schemas.openxmlformats.org/officeDocument/2006/docPropsVTypes"/>
</file>