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2545" w:val="clear"/>
            <w:tcMar>
              <w:top w:w="900.0" w:type="dxa"/>
              <w:left w:w="700.0" w:type="dxa"/>
              <w:bottom w:w="900.0" w:type="dxa"/>
              <w:right w:w="700.0" w:type="dxa"/>
            </w:tcMar>
          </w:tcPr>
          <w:p w:rsidR="00000000" w:rsidDel="00000000" w:rsidP="00000000" w:rsidRDefault="00000000" w:rsidRPr="00000000" w14:paraId="00000002">
            <w:pPr>
              <w:spacing w:after="200" w:line="360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6f3f2"/>
                <w:sz w:val="30"/>
                <w:szCs w:val="30"/>
                <w:rtl w:val="0"/>
              </w:rPr>
              <w:t xml:space="preserve">MILESTONE 2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60" w:line="360" w:lineRule="auto"/>
              <w:jc w:val="center"/>
              <w:rPr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b w:val="1"/>
                <w:bCs w:val="1"/>
                <w:i w:val="1"/>
                <w:iCs w:val="1"/>
                <w:color w:val="c9d8e8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9d8e8"/>
                <w:sz w:val="38"/>
                <w:szCs w:val="38"/>
                <w:rtl w:val="0"/>
              </w:rPr>
              <w:t xml:space="preserve">Host-Based Behavioral Anomaly</w:t>
            </w:r>
          </w:p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b w:val="1"/>
                <w:bCs w:val="1"/>
                <w:sz w:val="35"/>
                <w:szCs w:val="35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9d8e8"/>
                <w:sz w:val="38"/>
                <w:szCs w:val="38"/>
                <w:rtl w:val="0"/>
              </w:rPr>
              <w:t xml:space="preserve"> Detection on Linux Systems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50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7d0d9" w:space="0" w:sz="4" w:val="single"/>
          <w:left w:color="c7d0d9" w:space="0" w:sz="4" w:val="single"/>
          <w:bottom w:color="c7d0d9" w:space="0" w:sz="4" w:val="single"/>
          <w:right w:color="c7d0d9" w:space="0" w:sz="4" w:val="single"/>
          <w:insideH w:color="c7d0d9" w:space="0" w:sz="4" w:val="single"/>
          <w:insideV w:color="000000" w:space="0" w:sz="0" w:val="nil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c86" w:space="0" w:sz="18" w:val="single"/>
              <w:bottom w:color="000000" w:space="0" w:sz="0" w:val="nil"/>
              <w:right w:color="000000" w:space="0" w:sz="0" w:val="nil"/>
            </w:tcBorders>
            <w:shd w:fill="e6f3f2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24"/>
                <w:szCs w:val="24"/>
                <w:rtl w:val="0"/>
              </w:rPr>
              <w:t xml:space="preserve">Course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40.0" w:type="dxa"/>
              <w:left w:w="22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2433"/>
                <w:sz w:val="24"/>
                <w:szCs w:val="24"/>
                <w:rtl w:val="0"/>
              </w:rPr>
              <w:t xml:space="preserve">Workshop on Intrusion Detection Using ML Techniques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c86" w:space="0" w:sz="18" w:val="single"/>
              <w:bottom w:color="000000" w:space="0" w:sz="0" w:val="nil"/>
              <w:right w:color="000000" w:space="0" w:sz="0" w:val="nil"/>
            </w:tcBorders>
            <w:shd w:fill="e6f3f2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24"/>
                <w:szCs w:val="24"/>
                <w:rtl w:val="0"/>
              </w:rPr>
              <w:t xml:space="preserve">Group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40.0" w:type="dxa"/>
              <w:left w:w="22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2433"/>
                <w:sz w:val="24"/>
                <w:szCs w:val="24"/>
                <w:rtl w:val="0"/>
              </w:rPr>
              <w:t xml:space="preserve">Group Number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7c86" w:space="0" w:sz="18" w:val="single"/>
              <w:bottom w:color="000000" w:space="0" w:sz="0" w:val="nil"/>
              <w:right w:color="000000" w:space="0" w:sz="0" w:val="nil"/>
            </w:tcBorders>
            <w:shd w:fill="e6f3f2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545"/>
                <w:sz w:val="24"/>
                <w:szCs w:val="24"/>
                <w:rtl w:val="0"/>
              </w:rPr>
              <w:t xml:space="preserve">Date of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40.0" w:type="dxa"/>
              <w:left w:w="22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2433"/>
                <w:sz w:val="24"/>
                <w:szCs w:val="24"/>
                <w:rtl w:val="0"/>
              </w:rPr>
              <w:t xml:space="preserve">July 17,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500" w:line="36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rPr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28"/>
          <w:szCs w:val="28"/>
          <w:rtl w:val="0"/>
        </w:rPr>
        <w:t xml:space="preserve">Project Team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7d0d9" w:space="0" w:sz="4" w:val="single"/>
          <w:left w:color="c7d0d9" w:space="0" w:sz="4" w:val="single"/>
          <w:bottom w:color="c7d0d9" w:space="0" w:sz="4" w:val="single"/>
          <w:right w:color="c7d0d9" w:space="0" w:sz="4" w:val="single"/>
          <w:insideH w:color="c7d0d9" w:space="0" w:sz="4" w:val="single"/>
          <w:insideV w:color="c7d0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line="360" w:lineRule="auto"/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2"/>
                <w:szCs w:val="22"/>
                <w:rtl w:val="0"/>
              </w:rPr>
              <w:t xml:space="preserve">Alin Loshevsky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sz w:val="25"/>
                <w:szCs w:val="25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e7c86"/>
                  <w:sz w:val="23"/>
                  <w:szCs w:val="23"/>
                  <w:u w:val="single"/>
                  <w:rtl w:val="0"/>
                </w:rPr>
                <w:t xml:space="preserve">alinl@mail.tau.ac.il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line="360" w:lineRule="auto"/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2"/>
                <w:szCs w:val="22"/>
                <w:rtl w:val="0"/>
              </w:rPr>
              <w:t xml:space="preserve">Lior Pernik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sz w:val="25"/>
                <w:szCs w:val="25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0e7c86"/>
                  <w:sz w:val="23"/>
                  <w:szCs w:val="23"/>
                  <w:u w:val="single"/>
                  <w:rtl w:val="0"/>
                </w:rPr>
                <w:t xml:space="preserve">liorpernik@mail.tau.ac.il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line="360" w:lineRule="auto"/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2"/>
                <w:szCs w:val="22"/>
                <w:rtl w:val="0"/>
              </w:rPr>
              <w:t xml:space="preserve">Odeliya Charitonova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sz w:val="25"/>
                <w:szCs w:val="25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e7c86"/>
                  <w:sz w:val="23"/>
                  <w:szCs w:val="23"/>
                  <w:u w:val="single"/>
                  <w:rtl w:val="0"/>
                </w:rPr>
                <w:t xml:space="preserve">odeliyac@mail.tau.ac.il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360" w:lineRule="auto"/>
        <w:rPr/>
        <w:sectPr>
          <w:headerReference r:id="rId10" w:type="default"/>
          <w:footerReference r:id="rId11" w:type="default"/>
          <w:footerReference r:id="rId12" w:type="first"/>
          <w:pgSz w:h="15840" w:w="12240" w:orient="portrait"/>
          <w:pgMar w:bottom="1080" w:top="1080" w:left="1440" w:right="1440" w:header="708" w:footer="708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0e7c86" w:space="6" w:sz="12" w:val="single"/>
        </w:pBdr>
        <w:spacing w:after="220" w:before="480"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24"/>
          <w:szCs w:val="24"/>
          <w:rtl w:val="0"/>
        </w:rPr>
        <w:t xml:space="preserve">Chapter 1: Threat Characterization and Telemetry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1.1 Deep-Dive Threat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Project scope: 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General Linux host-based behavioral anomaly detection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when a process's privilege, execution, or resource-access footprint departs from expected normal activity. Within this scope,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privilege escalation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receives the deepest analytical treatment, as the pivotal stage at which an attacker converts initial access into meaningful host control. Based on the high-volume telemetry present in our evaluation corpora (Dataset 1 and 2), we characterize </w:t>
      </w:r>
      <w:r w:rsidDel="00000000" w:rsidR="00000000" w:rsidRPr="00000000">
        <w:rPr>
          <w:sz w:val="20"/>
          <w:szCs w:val="20"/>
          <w:rtl w:val="0"/>
        </w:rPr>
        <w:t xml:space="preserve">four 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primary MITRE ATT&amp;CK sub-techniques: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T1548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(Abuse Elevation Control Mechanism: Setuid and Setgid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labeled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T1166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in the CAM-LDS dataset's legacy annotation scheme),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T1059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T1222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T1548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 Privilege Escalation via setreuid/setresuid syscall abuse. 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A process explicitly invokes the setuid(2)/setreuid(2)/setresuid(2) family to change its real, effective, or saved UID. Legitimate use is narrow and stereotyped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a root-started daemon (e.g., sshd) drops privilege exactly once, immediately at startup. Malicious use is the inverse: a process starting non-root successfully calls setuid(0) after substantial prior non-privileged activity, indicating it gained the CAP_SETUID capability mid-execution via an exploit or misconfiguration. OS-layer observable: anomalous setuid-family syscall timing and an auid/euid mismatch (Table 1, R1–2).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T1059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 Command and Scripting Execution (Suspicious Shells). 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Post-exploitation often relies on spawning interactive shells to execute arbitrary commands. Production daemons use execve(2) to spawn specific worker threads, not interactive shells; an attacker using a webshell or reverse shell forces the service daemon to invoke execve on a shell binary, routing standard input/output over a network socket. OS-layer observable: daemon-to-shell process lineage with an execve/network spike (Table 1, R6).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T1222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 File and Directory Permissions Modification. 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To establish persistence or execute dropped payloads, attackers alter filesystem permissions via fchmod(2), fchmodat(2), or chown(2). Benign administrative tools use these calls in predictable, localized bursts; adversarial modification often targets unexpected paths or newly dropped binaries in writable directories like /tmp or /dev/shm. OS-layer observable: elevated privilege-altering syscall frequency by non-administrative processes (Table 1, R5).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T1595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 Active Scanning (Reconnaissance). 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Prior to escalation, automated tooling frequently probes the host's filesystem and network surface to identify exploitable entry points. This produces a syscall and access-path diversity distinct from a single targeted administrative action. OS-layer observable: elevated unique syscall count and file/network access density preceding an escalation event (Table 1, R8).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1.2 Structural Telemetry Mapping List/Table</w:t>
      </w:r>
      <w:r w:rsidDel="00000000" w:rsidR="00000000" w:rsidRPr="00000000">
        <w:rPr>
          <w:rtl w:val="0"/>
        </w:rPr>
      </w:r>
    </w:p>
    <w:tbl>
      <w:tblPr>
        <w:tblStyle w:val="Table4"/>
        <w:tblW w:w="11505.0" w:type="dxa"/>
        <w:jc w:val="left"/>
        <w:tblInd w:w="-990.0" w:type="dxa"/>
        <w:tblBorders>
          <w:top w:color="c7d0d9" w:space="0" w:sz="4" w:val="single"/>
          <w:left w:color="c7d0d9" w:space="0" w:sz="4" w:val="single"/>
          <w:bottom w:color="c7d0d9" w:space="0" w:sz="4" w:val="single"/>
          <w:right w:color="c7d0d9" w:space="0" w:sz="4" w:val="single"/>
          <w:insideH w:color="c7d0d9" w:space="0" w:sz="4" w:val="single"/>
          <w:insideV w:color="c7d0d9" w:space="0" w:sz="4" w:val="single"/>
        </w:tblBorders>
        <w:tblLayout w:type="fixed"/>
        <w:tblLook w:val="0000"/>
      </w:tblPr>
      <w:tblGrid>
        <w:gridCol w:w="525"/>
        <w:gridCol w:w="2355"/>
        <w:gridCol w:w="1530"/>
        <w:gridCol w:w="1365"/>
        <w:gridCol w:w="1680"/>
        <w:gridCol w:w="4050"/>
        <w:tblGridChange w:id="0">
          <w:tblGrid>
            <w:gridCol w:w="525"/>
            <w:gridCol w:w="2355"/>
            <w:gridCol w:w="1530"/>
            <w:gridCol w:w="1365"/>
            <w:gridCol w:w="1680"/>
            <w:gridCol w:w="405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Adversarial Behavioral 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 Telemetry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 Log Attributes / Raw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Derived / Engineered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Effective privilege exceeds real/login identity (T1548)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auditd, type=SYSCALL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uid, euid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max_uid_euid_delta, is_suid_exec, uid_is_root, euid_root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Escalation is a magnitude event, not a binary flag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 delta size reflects severity of the privilege jump. The binary root-status flags (uid_is_root/euid_root) are retained alongside the magnitude feature as a simpler baseline check; Ch. 4's algorithmic ranking evaluates whether the added magnitude information is actually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Login identity diverges from executing identity, no legitimate authenticated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auditd, type=SYSCALL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auid, euid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auid_euid_mismatch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auid is fixed at login and immune to later privilege changes; a mismatch indicates exploit-path escalation rather than an authenticated prompt.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Anomalous execution, scanning, or file-access density (Payload delivery / Active Scanning)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auditd, type=SYSCALL (execve, openat, mmap)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syscall_name, exe, comm,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exec_count, unique_syscalls, file_access_count, failed_call_rate, failed_call_count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Exploit payloads or automated scanning tools show elevated execution/file-access density and unique syscall usage versus the narrow benign baseline. Both the normalized rate and raw count of failed calls are kept: rate captures relative failure intensity independent of process length, count captures absolute volume.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Privileged process is unusually short-lived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auditd, event timestamps (per-pid), 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lifetime_seconds, events_per_second, ephemeral_privileged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Scripted escalate-then-execute chains complete in sub-second windows; human-invoked privileged actions carry realistic startup/teardown overhead.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Privilege syscalls occur mid-process-lifetime, or in anomalous volumes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auditd, type=SYSCALL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syscall_name ∈ {setuid, setgid, chmod, chown}, sequence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priv_op_count, seq_length, uid_changed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Position distinguishes benign startup drop from mid-run escalation (T1548); high volume flags T1222. uid_changed flags the same mid-lifetime identity shift at a coarser, binary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Shell/binary execution spawned by a long-running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auditd, type=SYSCALL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comm, exe, parent comm/exe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shell_from_service, parent_child_rarity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Daemon-to-shell spawning is a well-established T1059 signature, rare in benign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File access targeting credential/privilege-configuration stores around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auditd, type=PATH / type=SYSCALL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name (file 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sensitive_path_access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Access to /etc/shadow, /etc/sudoers, or SSH keys near a privilege transition indicates credential harvesting following 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Automated reconnaissance preceding escalation (T1595)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auditd, type=SYSCALL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syscall_name, file/network access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unique_syscalls, network_count, file_access_count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="36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18"/>
                <w:szCs w:val="18"/>
                <w:rtl w:val="0"/>
              </w:rPr>
              <w:t xml:space="preserve">Scripted scanning generates elevated, repetitive access density distinct from a targeted administrative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Table 1: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Telemetry &amp; Feature Mapping List, derived from the mechanism analysis in §1.1.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1.3 Theoretical Feature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Two points beyond what Table 1's Explanation column already states: first,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priv_op_count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's discriminative power depends on sequence position, not presence alone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the mere occurrence of a setuid-family call is not anomalous (every root-started daemon calls it once, immediately); what distinguishes malicious use is the call occurring after substantial prior unprivileged activity rather than as the first event. Second,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ephemeral_privileged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jointly encodes short lifetime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2433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root access specifically because automated exploit chains escalate and execute a payload within a sub-second window, a temporal signature a single feature alone (lifetime or privilege) cannot capture.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Bdr>
          <w:bottom w:color="0e7c86" w:space="6" w:sz="12" w:val="single"/>
        </w:pBdr>
        <w:spacing w:after="220" w:before="480"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24"/>
          <w:szCs w:val="24"/>
          <w:rtl w:val="0"/>
        </w:rPr>
        <w:t xml:space="preserve">Chapter 2: Academic Literature Review &amp; Feature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2.1 Literature Extraction Matrix</w:t>
      </w:r>
      <w:r w:rsidDel="00000000" w:rsidR="00000000" w:rsidRPr="00000000">
        <w:rPr>
          <w:rtl w:val="0"/>
        </w:rPr>
      </w:r>
    </w:p>
    <w:tbl>
      <w:tblPr>
        <w:tblStyle w:val="Table5"/>
        <w:tblW w:w="11145.0" w:type="dxa"/>
        <w:jc w:val="left"/>
        <w:tblInd w:w="-645.0" w:type="dxa"/>
        <w:tblBorders>
          <w:top w:color="c7d0d9" w:space="0" w:sz="4" w:val="single"/>
          <w:left w:color="c7d0d9" w:space="0" w:sz="4" w:val="single"/>
          <w:bottom w:color="c7d0d9" w:space="0" w:sz="4" w:val="single"/>
          <w:right w:color="c7d0d9" w:space="0" w:sz="4" w:val="single"/>
          <w:insideH w:color="c7d0d9" w:space="0" w:sz="4" w:val="single"/>
          <w:insideV w:color="c7d0d9" w:space="0" w:sz="4" w:val="single"/>
        </w:tblBorders>
        <w:tblLayout w:type="fixed"/>
        <w:tblLook w:val="0000"/>
      </w:tblPr>
      <w:tblGrid>
        <w:gridCol w:w="2265"/>
        <w:gridCol w:w="4560"/>
        <w:gridCol w:w="4320"/>
        <w:tblGridChange w:id="0">
          <w:tblGrid>
            <w:gridCol w:w="2265"/>
            <w:gridCol w:w="4560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Paper A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Highnam et al., "BETH Dataset" (CAMLIS 2021) 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Paper B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Du et al., "DeepLog" (ACM CCS 2017) 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Input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Per-event kernel record (eBPF-captured)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Per-event log line, parsed to a log-key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Privilege / identity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userId (binary system/user), processId/parentProcessId (process identity/lineage), mountNamespace (binary host/container)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Not modeled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 HDFS/OpenStack logs carry no OS-level UID 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Sequence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None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 every event scored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Core mechanism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 an LSTM predicts the next expected log-key given the prior 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Granularity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Per-event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Per-event, modeled within a sequence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Model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Isolation Forest (unsupervised)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LSTM (supervised on normal-sequence prediction)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Reported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AUROC = 0.850 (Isolation Forest 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Trained on as little as 1% of HDFS data; high detection accuracy on log-key deviation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Table 2: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Paper A anchors the tabular/tree-based paradigm; Paper B grounds the deep learning paradigm.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2.2 Comparative Analytical Essay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(1) Semantic security meaning assigned by the authors. 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Highnam et al. treat coarse, binary-encoded identity fields (is this UID a system account or a real user; is this process running in a container or on the bare host) as sufficient signal for general host anomaly detection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their claim is that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2433"/>
          <w:sz w:val="20"/>
          <w:szCs w:val="20"/>
          <w:rtl w:val="0"/>
        </w:rPr>
        <w:t xml:space="preserve">even minimal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identity encoding carries meaningful separative power at scale, which BETH's AUROC=0.850 Isolation Forest baseline supports. Du et al. assign semantic meaning to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2433"/>
          <w:sz w:val="20"/>
          <w:szCs w:val="20"/>
          <w:rtl w:val="0"/>
        </w:rPr>
        <w:t xml:space="preserve">deviation from a learned execution grammar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: a system under normal operation produces log-key sequences following a small number of stable patterns, and a sequence that violates the learned next-key prediction is treated as evidence of an anomalous execution path, independent of what any single event's fields contain.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(2) Contrast between Paper A and Paper B's engineering approaches. 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Paper A is fundamentally 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2433"/>
          <w:sz w:val="20"/>
          <w:szCs w:val="20"/>
          <w:rtl w:val="0"/>
        </w:rPr>
        <w:t xml:space="preserve">per-event, feature-based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approach: every kernel event is scored in isolation using its own field values, with no memory of what came before it. Paper B is fundamentally 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2433"/>
          <w:sz w:val="20"/>
          <w:szCs w:val="20"/>
          <w:rtl w:val="0"/>
        </w:rPr>
        <w:t xml:space="preserve">sequence-based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approach: no single log line is scored in isolation at all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meaning is only assigned relative to the sequence context an LSTM has learned. This is not a difference of degree but of category: Paper A discards temporal order entirely; Paper B's entire mechanism depends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(3) Features adopted, modified, or rejected, with reasoning.</w:t>
      </w:r>
      <w:r w:rsidDel="00000000" w:rsidR="00000000" w:rsidRPr="00000000">
        <w:rPr>
          <w:rtl w:val="0"/>
        </w:rPr>
      </w:r>
    </w:p>
    <w:tbl>
      <w:tblPr>
        <w:tblStyle w:val="Table6"/>
        <w:tblW w:w="11310.0" w:type="dxa"/>
        <w:jc w:val="left"/>
        <w:tblInd w:w="-975.0" w:type="dxa"/>
        <w:tblBorders>
          <w:top w:color="c7d0d9" w:space="0" w:sz="4" w:val="single"/>
          <w:left w:color="c7d0d9" w:space="0" w:sz="4" w:val="single"/>
          <w:bottom w:color="c7d0d9" w:space="0" w:sz="4" w:val="single"/>
          <w:right w:color="c7d0d9" w:space="0" w:sz="4" w:val="single"/>
          <w:insideH w:color="c7d0d9" w:space="0" w:sz="4" w:val="single"/>
          <w:insideV w:color="c7d0d9" w:space="0" w:sz="4" w:val="single"/>
        </w:tblBorders>
        <w:tblLayout w:type="fixed"/>
        <w:tblLook w:val="0000"/>
      </w:tblPr>
      <w:tblGrid>
        <w:gridCol w:w="1170"/>
        <w:gridCol w:w="2985"/>
        <w:gridCol w:w="930"/>
        <w:gridCol w:w="6225"/>
        <w:tblGridChange w:id="0">
          <w:tblGrid>
            <w:gridCol w:w="1170"/>
            <w:gridCol w:w="2985"/>
            <w:gridCol w:w="930"/>
            <w:gridCol w:w="6225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/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f3e1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632a"/>
                <w:sz w:val="20"/>
                <w:szCs w:val="20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Kernel-level privilege/identity fields as core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Paper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Directly relevant to a privilege-escalation threat model; BETH's own result confirms identity fields carry real anomaly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a5a00"/>
                <w:sz w:val="20"/>
                <w:szCs w:val="20"/>
                <w:rtl w:val="0"/>
              </w:rPr>
              <w:t xml:space="preserve">Modify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Sequence-based Deep Learning (LSTM) → 1D-CNN on tabular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Paper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While Paper B motivated a Deep Learning approach, operational constraints (98.2% single-event processes in Dataset 2) precluded temporal LSTM modeling. We modified this paradigm to a 1D-CNN architecture convolving over fixed-length engineered features (Ch. 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a5a00"/>
                <w:sz w:val="20"/>
                <w:szCs w:val="20"/>
                <w:rtl w:val="0"/>
              </w:rPr>
              <w:t xml:space="preserve">Modify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Binary privilege encoding (system/user UID) → continuous UID/EUID 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Paper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Chapter 4's empirical ablation finds the magnitude of a privilege change carries independent signal that a binary split discards entirely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3e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1c1c"/>
                <w:sz w:val="20"/>
                <w:szCs w:val="20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mountNamespace (container vs. host binary flag)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Paper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Not applicable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 our corpora do not distinguish container from host execution context in a way this feature could encode; including it would be a constant, non-discriminative 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3e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1c1c"/>
                <w:sz w:val="20"/>
                <w:szCs w:val="20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Parameter-value-vector modeling for performance 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Paper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Out of scope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 this project targets binary benign/malicious classification, not the numeric performance-anomaly detection Paper B additionally supports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4ee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5e86"/>
                <w:sz w:val="20"/>
                <w:szCs w:val="20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Login/execution identity mismatch (auid_euid_mismatch)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Neither paper models the login-identity-vs-executing-identity relationship; introduced here as a privilege-escalation-specific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4ee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5e86"/>
                <w:sz w:val="20"/>
                <w:szCs w:val="20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Process-lineage rarity (parent_child_rarity)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Neither paper models parent→child process relationships; introduced here to capture anomalous process spawning patterns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Table 3: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Adopt / Modify / Reject decisions for this project's feature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Bdr>
          <w:bottom w:color="0e7c86" w:space="6" w:sz="12" w:val="single"/>
        </w:pBdr>
        <w:spacing w:after="220" w:before="480"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24"/>
          <w:szCs w:val="24"/>
          <w:rtl w:val="0"/>
        </w:rPr>
        <w:t xml:space="preserve">Chapter 3: Exploratory Data Analysis (EDA) &amp; Domain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3.1 Statistical and Visual Exploration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Dataset 1 (CAM-LDS). 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90,805 processes, 46.0% benign / 54.0% attack (symmetric per-source capping applied during extraction, §5.1).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Dataset 2 (CasinoLimit). 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82.9% benign / 17.1% attack (4-technique subset: T1548/T1059/T1222/T1595; process-level rollup, §5.1).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Class distribution, per-feature distribution plots, and the correlation matrices for both datasets are provided in Appendix A (Figures 1–3: CAM-LDS, Figures 5–7: CasinoLimit).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3.2 Noise &amp; Redundancy Reduction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Two Dataset 1 features are retained despite being non-functional, to preserve the full 20-feature schema for cross-dataset comparability (§5.1):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sensitive_path_access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is zero for both classes (the current extraction reads exe rather than auditd PATH-record name= fields, a scoped future-work item),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uid_is_root/euid_root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contribute negligibly (Cohen's d ≈ 0.03, enabled for 99.9%+ of processes regardless of label).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Highly correlated feature pairs (|r| &gt; 0.7, Figure 3) were also retained rather than pruned: Chapter 4's ablation (§4.2) shows apparently-redundant pairs (e.g.,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is_suid_exec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max_uid_euid_delta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) each carry independent marginal contribution once the other is present, so correlation alone was not sufficient grounds for removal.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CasinoLimit has its own non-functional features: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uid_changed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2433"/>
          <w:sz w:val="20"/>
          <w:szCs w:val="20"/>
          <w:rtl w:val="0"/>
        </w:rPr>
        <w:t xml:space="preserve">network_count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are exactly constant (variance = 0) despite being nominally shared with Dataset 1 (Table 7). Notably, uid_changed is CAM-LDS's single highest RF-ranked feature (Table 6) despite this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the same feature carries no signal in one dataset and is the top empirical predictor in the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3.3 Empirical Justification Report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7d0d9" w:space="0" w:sz="4" w:val="single"/>
          <w:left w:color="c7d0d9" w:space="0" w:sz="4" w:val="single"/>
          <w:bottom w:color="c7d0d9" w:space="0" w:sz="4" w:val="single"/>
          <w:right w:color="c7d0d9" w:space="0" w:sz="4" w:val="single"/>
          <w:insideH w:color="c7d0d9" w:space="0" w:sz="4" w:val="single"/>
          <w:insideV w:color="c7d0d9" w:space="0" w:sz="4" w:val="single"/>
        </w:tblBorders>
        <w:tblLayout w:type="fixed"/>
        <w:tblLook w:val="0000"/>
      </w:tblPr>
      <w:tblGrid>
        <w:gridCol w:w="2415"/>
        <w:gridCol w:w="1935"/>
        <w:gridCol w:w="1470"/>
        <w:gridCol w:w="1620"/>
        <w:gridCol w:w="1920"/>
        <w:tblGridChange w:id="0">
          <w:tblGrid>
            <w:gridCol w:w="2415"/>
            <w:gridCol w:w="1935"/>
            <w:gridCol w:w="1470"/>
            <w:gridCol w:w="1620"/>
            <w:gridCol w:w="192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CAM-LDS Cohen's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CAM-LDS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Casino Cohen's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Casino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is_suid_exec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b6b79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auid_euid_mismatch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-1.483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3e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1c1c"/>
                <w:sz w:val="20"/>
                <w:szCs w:val="20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max_uid_euid_delta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+1.308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3e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1c1c"/>
                <w:sz w:val="20"/>
                <w:szCs w:val="20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priv_op_count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e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5e86"/>
                <w:sz w:val="20"/>
                <w:szCs w:val="20"/>
                <w:rtl w:val="0"/>
              </w:rPr>
              <w:t xml:space="preserve">small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exec_count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-0.137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+8.375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3e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1c1c"/>
                <w:sz w:val="20"/>
                <w:szCs w:val="20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sensitive_path_access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-0.009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shell_from_service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+1.235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3e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1c1c"/>
                <w:sz w:val="20"/>
                <w:szCs w:val="20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parent_child_rarity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b6b79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ephemeral_privileged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b6b79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events_per_second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-0.515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a5a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e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5e86"/>
                <w:sz w:val="20"/>
                <w:szCs w:val="20"/>
                <w:rtl w:val="0"/>
              </w:rPr>
              <w:t xml:space="preserve">small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failed_call_rate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-0.018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+0.558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a5a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euid_root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-0.033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+3.153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3e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1c1c"/>
                <w:sz w:val="20"/>
                <w:szCs w:val="20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uid_is_root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-0.033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+1.984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3e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1c1c"/>
                <w:sz w:val="20"/>
                <w:szCs w:val="20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uid_changed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+1.427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3e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1c1c"/>
                <w:sz w:val="20"/>
                <w:szCs w:val="20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failed_call_count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e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5e86"/>
                <w:sz w:val="20"/>
                <w:szCs w:val="20"/>
                <w:rtl w:val="0"/>
              </w:rPr>
              <w:t xml:space="preserve">small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file_access_count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-2.868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3e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1c1c"/>
                <w:sz w:val="20"/>
                <w:szCs w:val="20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network_count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unique_syscalls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+1.003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3e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b1c1c"/>
                <w:sz w:val="20"/>
                <w:szCs w:val="20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seq_length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lifetime_seconds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+0.011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-0.063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2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b6b79"/>
                <w:sz w:val="20"/>
                <w:szCs w:val="20"/>
                <w:rtl w:val="0"/>
              </w:rPr>
              <w:t xml:space="preserve">negligible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Table 4: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Mann-Whitney U test results (Cohen's d, effect size).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pBdr>
          <w:bottom w:color="0e7c86" w:space="6" w:sz="12" w:val="single"/>
        </w:pBdr>
        <w:spacing w:after="220" w:before="480"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24"/>
          <w:szCs w:val="24"/>
          <w:rtl w:val="0"/>
        </w:rPr>
        <w:t xml:space="preserve">Chapter 4: Algorithmic Feature Ranking and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4.1 Tree-Based Feature Importance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2433"/>
          <w:sz w:val="20"/>
          <w:szCs w:val="20"/>
          <w:rtl w:val="0"/>
        </w:rPr>
        <w:t xml:space="preserve">Random Forest feature importance rankings for both datasets are provided in Appendix A (Figure 4: CAM-LDS; Figure 9: CasinoLimit); see §4.2 for the ranking-discrepancy discussion.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4.2 Critical Discrepancy Analysis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Comparing the Chapter 1 domain-motivated feature ranking against empirical Random Forest importance gives opposite results per dataset: CAM-LDS shows ρ=−0.553 (p=0.011, significant and negative 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domain-ranked-highest features empirically rank lower, and vice versa), while CasinoLimit shows ρ=0.284 (p=0.269, weak, positive, not significant).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7d0d9" w:space="0" w:sz="4" w:val="single"/>
          <w:left w:color="c7d0d9" w:space="0" w:sz="4" w:val="single"/>
          <w:bottom w:color="c7d0d9" w:space="0" w:sz="4" w:val="single"/>
          <w:right w:color="c7d0d9" w:space="0" w:sz="4" w:val="single"/>
          <w:insideH w:color="c7d0d9" w:space="0" w:sz="4" w:val="single"/>
          <w:insideV w:color="c7d0d9" w:space="0" w:sz="4" w:val="single"/>
        </w:tblBorders>
        <w:tblLayout w:type="fixed"/>
        <w:tblLook w:val="0000"/>
      </w:tblPr>
      <w:tblGrid>
        <w:gridCol w:w="2700"/>
        <w:gridCol w:w="2220"/>
        <w:gridCol w:w="2220"/>
        <w:gridCol w:w="2220"/>
        <w:tblGridChange w:id="0">
          <w:tblGrid>
            <w:gridCol w:w="2700"/>
            <w:gridCol w:w="2220"/>
            <w:gridCol w:w="2220"/>
            <w:gridCol w:w="222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Domain Rank (Ch. 1.3)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CAM-LDS RF 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Casino RF Rank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is_suid_exec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b6b79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auid_euid_mismatch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max_uid_euid_delta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priv_op_count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exec_count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3f2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7c86"/>
                <w:sz w:val="20"/>
                <w:szCs w:val="20"/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sensitive_path_access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shell_from_service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parent_child_rarity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b6b79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ephemeral_privileged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b6b79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events_per_second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failed_call_rate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euid_root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3f2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7c86"/>
                <w:sz w:val="20"/>
                <w:szCs w:val="20"/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uid_is_root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uid_changed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3f2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7c86"/>
                <w:sz w:val="20"/>
                <w:szCs w:val="20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failed_call_count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3f2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7c86"/>
                <w:sz w:val="20"/>
                <w:szCs w:val="20"/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file_access_count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3f2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7c86"/>
                <w:sz w:val="20"/>
                <w:szCs w:val="20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network_count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unique_syscalls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.21093749999994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seq_length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3f2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7c86"/>
                <w:sz w:val="20"/>
                <w:szCs w:val="20"/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2109375" w:hRule="atLeast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lifetime_seconds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#12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260" w:before="100" w:line="360" w:lineRule="auto"/>
        <w:jc w:val="center"/>
        <w:rPr>
          <w:i w:val="1"/>
          <w:iCs w:val="1"/>
          <w:color w:val="5b6b79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Table 5: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Domain rank vs. empirical RF rank, both datasets. RF importance charts are provided in Appendix A (Figures 9,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pBdr>
          <w:bottom w:color="0e7c86" w:space="6" w:sz="12" w:val="single"/>
        </w:pBdr>
        <w:spacing w:after="220" w:before="480"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24"/>
          <w:szCs w:val="24"/>
          <w:rtl w:val="0"/>
        </w:rPr>
        <w:t xml:space="preserve">Chapter 5: Multi-Dataset Sourcing &amp; Harmonization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5.1 Unified Feature Schema Definition</w:t>
      </w:r>
      <w:r w:rsidDel="00000000" w:rsidR="00000000" w:rsidRPr="00000000">
        <w:rPr>
          <w:rtl w:val="0"/>
        </w:rPr>
      </w:r>
    </w:p>
    <w:tbl>
      <w:tblPr>
        <w:tblStyle w:val="Table9"/>
        <w:tblW w:w="9375.0" w:type="dxa"/>
        <w:jc w:val="left"/>
        <w:tblBorders>
          <w:top w:color="c7d0d9" w:space="0" w:sz="4" w:val="single"/>
          <w:left w:color="c7d0d9" w:space="0" w:sz="4" w:val="single"/>
          <w:bottom w:color="c7d0d9" w:space="0" w:sz="4" w:val="single"/>
          <w:right w:color="c7d0d9" w:space="0" w:sz="4" w:val="single"/>
          <w:insideH w:color="c7d0d9" w:space="0" w:sz="4" w:val="single"/>
          <w:insideV w:color="c7d0d9" w:space="0" w:sz="4" w:val="single"/>
        </w:tblBorders>
        <w:tblLayout w:type="fixed"/>
        <w:tblLook w:val="0000"/>
      </w:tblPr>
      <w:tblGrid>
        <w:gridCol w:w="3975"/>
        <w:gridCol w:w="1530"/>
        <w:gridCol w:w="1605"/>
        <w:gridCol w:w="2265"/>
        <w:tblGridChange w:id="0">
          <w:tblGrid>
            <w:gridCol w:w="3975"/>
            <w:gridCol w:w="1530"/>
            <w:gridCol w:w="1605"/>
            <w:gridCol w:w="2265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CAM-LDS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17 shared count/rate/binary features (Table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7c86"/>
                <w:sz w:val="20"/>
                <w:szCs w:val="20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7c86"/>
                <w:sz w:val="20"/>
                <w:szCs w:val="20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Direct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 17/20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is_suid_exec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7c86"/>
                <w:sz w:val="20"/>
                <w:szCs w:val="20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b6b79"/>
                <w:sz w:val="20"/>
                <w:szCs w:val="20"/>
                <w:rtl w:val="0"/>
              </w:rPr>
              <w:t xml:space="preserve">Not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b1c1c"/>
                <w:sz w:val="20"/>
                <w:szCs w:val="20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ephemeral_privileged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7c86"/>
                <w:sz w:val="20"/>
                <w:szCs w:val="20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b6b79"/>
                <w:sz w:val="20"/>
                <w:szCs w:val="20"/>
                <w:rtl w:val="0"/>
              </w:rPr>
              <w:t xml:space="preserve">Not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b1c1c"/>
                <w:sz w:val="20"/>
                <w:szCs w:val="20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parent_child_rarity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7c86"/>
                <w:sz w:val="20"/>
                <w:szCs w:val="20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b6b79"/>
                <w:sz w:val="20"/>
                <w:szCs w:val="20"/>
                <w:rtl w:val="0"/>
              </w:rPr>
              <w:t xml:space="preserve">Not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b1c1c"/>
                <w:sz w:val="20"/>
                <w:szCs w:val="20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Table 6: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CasinoLimit retains 17 of Dataset 1's 20 features natively.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5.2 Cross-Dataset Distribution Shift Analysis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c7d0d9" w:space="0" w:sz="4" w:val="single"/>
          <w:left w:color="c7d0d9" w:space="0" w:sz="4" w:val="single"/>
          <w:bottom w:color="c7d0d9" w:space="0" w:sz="4" w:val="single"/>
          <w:right w:color="c7d0d9" w:space="0" w:sz="4" w:val="single"/>
          <w:insideH w:color="c7d0d9" w:space="0" w:sz="4" w:val="single"/>
          <w:insideV w:color="c7d0d9" w:space="0" w:sz="4" w:val="single"/>
        </w:tblBorders>
        <w:tblLayout w:type="fixed"/>
        <w:tblLook w:val="0000"/>
      </w:tblPr>
      <w:tblGrid>
        <w:gridCol w:w="2600"/>
        <w:gridCol w:w="3120"/>
        <w:gridCol w:w="1820"/>
        <w:gridCol w:w="1820"/>
        <w:tblGridChange w:id="0">
          <w:tblGrid>
            <w:gridCol w:w="2600"/>
            <w:gridCol w:w="3120"/>
            <w:gridCol w:w="1820"/>
            <w:gridCol w:w="182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Granularity / Subset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Dataset 1 (CAM-LDS)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Full 19-technique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0.8776 ± 0.0088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0.7745 ± 0.0123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Dataset 2 (CasinoLimit)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Process-level, 4 stable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40" w:line="36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0.9950 ± 0.0103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40" w:line="36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0.9414 ± 0.1791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Table 7: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Headline result comparison, same leak-free vector-grouped cross-validation methodology applied to both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2433"/>
          <w:sz w:val="20"/>
          <w:szCs w:val="20"/>
          <w:rtl w:val="0"/>
        </w:rPr>
        <w:t xml:space="preserve">Under identical evaluation methodology, CasinoLimit's AUROC (0.9950±0.0103) is higher than CAM-LDS's (0.8776±0.0088), and both are tight and stable across folds. F1 tells a different story: CAM-LDS is stable (0.7745±0.0123), while CasinoLimit's F1, though higher on average (0.9414), swings far more across folds (±0.1791)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2433"/>
          <w:sz w:val="20"/>
          <w:szCs w:val="20"/>
          <w:rtl w:val="0"/>
        </w:rPr>
        <w:t xml:space="preserve"> consistent with instability from its extreme duplication (356 unique groups, 15/75 folds undefined) rather than a modeling deficiency.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Side-by-side log1p-scale distribution comparisons for all 17 shared features (not just the 3 top empirical features) are provided in Appendix A (Figure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5.3 Data Scaling &amp; Scaling Remedies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CasinoLimit's raw event-level data (109,994 individual syscall events, prior to the process-level rollup used everywhere else in this report) exhibits 99.6% duplication (411 unique feature vectors), more severe than CAM-LDS's own 91.1% duplication, but the same underlying phenomenon (small numbers of distinct scripted attack/benign patterns, replayed at scale). The following remedies were applied, consistent with CAM-LDS's own 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4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433"/>
          <w:sz w:val="20"/>
          <w:szCs w:val="20"/>
          <w:u w:val="none"/>
          <w:shd w:fill="auto" w:val="clear"/>
          <w:vertAlign w:val="baseline"/>
          <w:rtl w:val="0"/>
        </w:rPr>
        <w:t xml:space="preserve">Leak-free evaluation: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433"/>
          <w:sz w:val="20"/>
          <w:szCs w:val="20"/>
          <w:u w:val="none"/>
          <w:shd w:fill="auto" w:val="clear"/>
          <w:vertAlign w:val="baseline"/>
          <w:rtl w:val="0"/>
        </w:rPr>
        <w:t xml:space="preserve">5-fold StratifiedGroupKFold, grouped by exact feature-vector identity (not host), identical to Dataset 1's methodology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433"/>
          <w:sz w:val="20"/>
          <w:szCs w:val="20"/>
          <w:u w:val="none"/>
          <w:shd w:fill="auto" w:val="clear"/>
          <w:vertAlign w:val="baseline"/>
          <w:rtl w:val="0"/>
        </w:rPr>
        <w:t xml:space="preserve"> a naive split on CasinoLimit gives F1=0.9987/AUROC=1.0000, confirmed to be pure duplication leakage, not genuine performance.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4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433"/>
          <w:sz w:val="20"/>
          <w:szCs w:val="20"/>
          <w:u w:val="none"/>
          <w:shd w:fill="auto" w:val="clear"/>
          <w:vertAlign w:val="baseline"/>
          <w:rtl w:val="0"/>
        </w:rPr>
        <w:t xml:space="preserve">Repeated cross-validation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433"/>
          <w:sz w:val="20"/>
          <w:szCs w:val="20"/>
          <w:u w:val="none"/>
          <w:shd w:fill="auto" w:val="clear"/>
          <w:vertAlign w:val="baseline"/>
          <w:rtl w:val="0"/>
        </w:rPr>
        <w:t xml:space="preserve">(15 repeats, 75 total folds) rather than a single split: with only 356 unique feature-vector groups, a single 5-fold run's result depends heavily on which fold the few dominant, near-identical patterns land in. Across our 15 repeats, per-repeat F1 ranges from 0.294 to 0.991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433"/>
          <w:sz w:val="20"/>
          <w:szCs w:val="20"/>
          <w:u w:val="none"/>
          <w:shd w:fill="auto" w:val="clear"/>
          <w:vertAlign w:val="baseline"/>
          <w:rtl w:val="0"/>
        </w:rPr>
        <w:t xml:space="preserve"> a single split could easily have overstated or understated detection performance; averaging over many splits gives a stable estimate instead.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4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2433"/>
          <w:sz w:val="20"/>
          <w:szCs w:val="20"/>
          <w:u w:val="none"/>
          <w:shd w:fill="auto" w:val="clear"/>
          <w:vertAlign w:val="baseline"/>
          <w:rtl w:val="0"/>
        </w:rPr>
        <w:t xml:space="preserve">Class-weighted training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433"/>
          <w:sz w:val="20"/>
          <w:szCs w:val="20"/>
          <w:u w:val="none"/>
          <w:shd w:fill="auto" w:val="clear"/>
          <w:vertAlign w:val="baseline"/>
          <w:rtl w:val="0"/>
        </w:rPr>
        <w:t xml:space="preserve">(class_weight='balanced') rather than resampling, to address the natural class imbalance in both datasets without introducing synthetic minority-class duplicates on top of the corpora's existing duplication.</w:t>
      </w:r>
    </w:p>
    <w:p w:rsidR="00000000" w:rsidDel="00000000" w:rsidP="00000000" w:rsidRDefault="00000000" w:rsidRPr="00000000" w14:paraId="00000190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Normalization wasn't needed for detection modeling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 all four models (Ch. 6) are tree-based/isolation-based, scale-invariant, and trained independently per dataset. The cross-dataset comparison (Ch. 5.2) did need log1p, since several features (like lifetime_seconds, events_per_second) differ by 2–4 orders of magnitude in raw scale between datasets. log1p meaningfully closes the gap for only 2 of 17 features (lifetime_seconds: 28.4%; max_uid_euid_delta: 2.0%); z-score and robust-scaling are mathematically incapable of moving this metric at all. Log1p is therefore for visualization only, not the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pBdr>
          <w:bottom w:color="0e7c86" w:space="6" w:sz="12" w:val="single"/>
        </w:pBdr>
        <w:spacing w:after="220" w:before="480"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24"/>
          <w:szCs w:val="24"/>
          <w:rtl w:val="0"/>
        </w:rPr>
        <w:t xml:space="preserve">Chapter 6: Model Selection and Academic Grounding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160" w:before="32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0"/>
          <w:szCs w:val="20"/>
          <w:rtl w:val="0"/>
        </w:rPr>
        <w:t xml:space="preserve">6.1 Architectural Customization Justification</w:t>
      </w:r>
      <w:r w:rsidDel="00000000" w:rsidR="00000000" w:rsidRPr="00000000">
        <w:rPr>
          <w:rtl w:val="0"/>
        </w:rPr>
      </w:r>
    </w:p>
    <w:tbl>
      <w:tblPr>
        <w:tblStyle w:val="Table11"/>
        <w:tblW w:w="11850.0" w:type="dxa"/>
        <w:jc w:val="left"/>
        <w:tblInd w:w="-1215.0" w:type="dxa"/>
        <w:tblBorders>
          <w:top w:color="c7d0d9" w:space="0" w:sz="4" w:val="single"/>
          <w:left w:color="c7d0d9" w:space="0" w:sz="4" w:val="single"/>
          <w:bottom w:color="c7d0d9" w:space="0" w:sz="4" w:val="single"/>
          <w:right w:color="c7d0d9" w:space="0" w:sz="4" w:val="single"/>
          <w:insideH w:color="c7d0d9" w:space="0" w:sz="4" w:val="single"/>
          <w:insideV w:color="c7d0d9" w:space="0" w:sz="4" w:val="single"/>
        </w:tblBorders>
        <w:tblLayout w:type="fixed"/>
        <w:tblLook w:val="0000"/>
      </w:tblPr>
      <w:tblGrid>
        <w:gridCol w:w="2160"/>
        <w:gridCol w:w="2460"/>
        <w:gridCol w:w="7230"/>
        <w:tblGridChange w:id="0">
          <w:tblGrid>
            <w:gridCol w:w="2160"/>
            <w:gridCol w:w="2460"/>
            <w:gridCol w:w="723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Paradigm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Structural / Mathematical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e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5e86"/>
                <w:sz w:val="20"/>
                <w:szCs w:val="20"/>
                <w:rtl w:val="0"/>
              </w:rPr>
              <w:t xml:space="preserve">Traditional Supervised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40"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Non-linear, high-dimensional boundary mapping via ensemble decision trees is naturally suited to the multicollinear, correlated-feature structure identified in Ch. 4 (privilege-identity features co-occur by construction during genuine escalation events)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e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5e86"/>
                <w:sz w:val="20"/>
                <w:szCs w:val="20"/>
                <w:rtl w:val="0"/>
              </w:rPr>
              <w:t xml:space="preserve">Traditional Supervised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40"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XGBoost / Gradient Boosting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Sequential error-correction (boosting) directly targets the hard-to-separate cases already identified in Ch. 3-4 (e.g., near-tautological root-access techniques), often improving discrimination on exactly the residual cases a single RF misses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a5a00"/>
                <w:sz w:val="20"/>
                <w:szCs w:val="20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40"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1D-CNN (Tabular Feature Convolution)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While sequential temporal tracking (e.g., LSTMs) is theoretically ideal per Paper B, CasinoLimit's captured processes are overwhelmingly single-event (98.2% of processes generate exactly one syscall; mean 1.08 events/process vs. 10.87 in CAM-LDS, Ch. 5.3), which structurally precludes sequence modeling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 there is no meaningful "before" state for an LSTM to learn from. Instead, a 1D-CNN convolving over the fixed-length engineered feature vector is utilized to learn complex, non-linear spatial interactions between adjacent tabular features that traditional decision boundaries might miss.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f3e1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632a"/>
                <w:sz w:val="20"/>
                <w:szCs w:val="20"/>
                <w:rtl w:val="0"/>
              </w:rPr>
              <w:t xml:space="preserve">Unsupervised / Anomaly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40"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Isolation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Root-access and identity-mismatch features (Ch. 1) produce a low-density, separable minority pattern in feature space even without labels; isolation-based partitioning directly exploits this without requiring labeled attack examples during training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260" w:before="100" w:line="360" w:lineRule="auto"/>
        <w:jc w:val="center"/>
        <w:rPr>
          <w:rFonts w:ascii="Calibri" w:cs="Calibri" w:eastAsia="Calibri" w:hAnsi="Calibri"/>
          <w:i w:val="1"/>
          <w:iCs w:val="1"/>
          <w:color w:val="5b6b79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18"/>
          <w:szCs w:val="18"/>
          <w:rtl w:val="0"/>
        </w:rPr>
        <w:t xml:space="preserve">Table 8: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18"/>
          <w:szCs w:val="18"/>
          <w:rtl w:val="0"/>
        </w:rPr>
        <w:t xml:space="preserve">Four required models, one per paradigm, with structural justification. Each architecture is matched to a specific structural property of the threat established in Chapters 1–4.</w:t>
      </w:r>
    </w:p>
    <w:p w:rsidR="00000000" w:rsidDel="00000000" w:rsidP="00000000" w:rsidRDefault="00000000" w:rsidRPr="00000000" w14:paraId="000001A3">
      <w:pPr>
        <w:pStyle w:val="Heading2"/>
        <w:spacing w:after="160" w:before="320" w:line="3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2"/>
          <w:szCs w:val="22"/>
          <w:rtl w:val="0"/>
        </w:rPr>
        <w:t xml:space="preserve">6.2 State-of-the-Art Literature Synthesis</w:t>
      </w:r>
      <w:r w:rsidDel="00000000" w:rsidR="00000000" w:rsidRPr="00000000">
        <w:rPr>
          <w:rtl w:val="0"/>
        </w:rPr>
      </w:r>
    </w:p>
    <w:tbl>
      <w:tblPr>
        <w:tblStyle w:val="Table12"/>
        <w:tblW w:w="11145.0" w:type="dxa"/>
        <w:jc w:val="left"/>
        <w:tblInd w:w="-960.0" w:type="dxa"/>
        <w:tblBorders>
          <w:top w:color="c7d0d9" w:space="0" w:sz="4" w:val="single"/>
          <w:left w:color="c7d0d9" w:space="0" w:sz="4" w:val="single"/>
          <w:bottom w:color="c7d0d9" w:space="0" w:sz="4" w:val="single"/>
          <w:right w:color="c7d0d9" w:space="0" w:sz="4" w:val="single"/>
          <w:insideH w:color="c7d0d9" w:space="0" w:sz="4" w:val="single"/>
          <w:insideV w:color="c7d0d9" w:space="0" w:sz="4" w:val="single"/>
        </w:tblBorders>
        <w:tblLayout w:type="fixed"/>
        <w:tblLook w:val="0000"/>
      </w:tblPr>
      <w:tblGrid>
        <w:gridCol w:w="1590"/>
        <w:gridCol w:w="3165"/>
        <w:gridCol w:w="2295"/>
        <w:gridCol w:w="2115"/>
        <w:gridCol w:w="1980"/>
        <w:tblGridChange w:id="0">
          <w:tblGrid>
            <w:gridCol w:w="1590"/>
            <w:gridCol w:w="3165"/>
            <w:gridCol w:w="2295"/>
            <w:gridCol w:w="2115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545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Reported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Mehmood et al., "Privilege Escalation Attack Detection and Mitigation in Cloud Using Machine Learning," IEEE Access,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RF among 4 compared classifiers (RF, AdaBoost, XGBoost, LightGBM)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CERT insider-threat dataset (customized multi-file merge)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86%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XGBoost /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Same paper (Mehmood et al., 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XGBoost, identical experimental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Same CERT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88.27%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1D-CNN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Ring, Van Oort, Durst, White, Near &amp; Skalka, "Methods for Host-Based Intrusion Detection with Deep Learning," ACM Digital Threats: Research and Practice, 2021 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CNN/RNN hybrid (stacked 1D-convolution layers over per-process syscall traces feeding a recurrent 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ADFA-LD / PLAID (host syscall traces captured via strace, incl. a real privilege-escalation exploit)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Mean AUC-ROC over 30 trials, reported comparable to LSTM baselines on the same per-process syscall traces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Isolation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Highnam et al., "BETH Dataset" (Paper A, §2.1)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Isolation Forest, unsupervised, eBPF-captured host kernel 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BETH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433"/>
                <w:sz w:val="20"/>
                <w:szCs w:val="20"/>
                <w:rtl w:val="0"/>
              </w:rPr>
              <w:t xml:space="preserve">AUROC = 0.850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260" w:before="100" w:line="360" w:lineRule="auto"/>
        <w:jc w:val="center"/>
        <w:rPr>
          <w:b w:val="1"/>
          <w:bCs w:val="1"/>
          <w:color w:val="0b254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Table 9: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Academic literature grounding for each of the four selected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pBdr>
          <w:bottom w:color="0e7c86" w:space="6" w:sz="12" w:val="single"/>
        </w:pBdr>
        <w:spacing w:after="220" w:before="480" w:line="3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24"/>
          <w:szCs w:val="24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00" w:line="360" w:lineRule="auto"/>
        <w:ind w:left="360" w:hanging="36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[1] K. Highnam, K. Arulkumaran, Z. Hanif, N. R. Jennings, "BETH Dataset: Real Cybersecurity Data for Anomaly Detection Research," Conference on Applied Machine Learning for Information Security (CAMLIS),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00" w:line="360" w:lineRule="auto"/>
        <w:ind w:left="360" w:hanging="36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[2] M. Du, F. Li, G. Zheng, V. Srikumar, "DeepLog: Anomaly Detection and Diagnosis from System Logs through Deep Learning," Proceedings of the 2017 ACM SIGSAC Conference on Computer and Communications Security (CCS '17), pp. 1285–1298, 2017. DOI: 10.1145/3133956.3134015.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00" w:line="360" w:lineRule="auto"/>
        <w:ind w:left="360" w:hanging="36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[3] M. Mehmood et al., "Privilege Escalation Attack Detection and Mitigation in Cloud Using Machine Learning," IEEE Access,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00" w:line="360" w:lineRule="auto"/>
        <w:ind w:left="360" w:hanging="36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a2433"/>
          <w:sz w:val="20"/>
          <w:szCs w:val="20"/>
          <w:rtl w:val="0"/>
        </w:rPr>
        <w:t xml:space="preserve">[4] J. H. Ring IV, C. M. Van Oort, S. Durst, V. White, J. P. Near, C. Skalka, "Methods for Host-Based Intrusion Detection with Deep Learning," Digital Threats: Research and Practice, vol. 2, no. 4, Article 26, 2021. DOI: 10.1145/3461462.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24"/>
          <w:szCs w:val="24"/>
          <w:rtl w:val="0"/>
        </w:rPr>
        <w:t xml:space="preserve">Appendix A </w:t>
      </w:r>
      <w:r w:rsidDel="00000000" w:rsidR="00000000" w:rsidRPr="00000000">
        <w:rPr>
          <w:b w:val="1"/>
          <w:bCs w:val="1"/>
          <w:color w:val="0b254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24"/>
          <w:szCs w:val="24"/>
          <w:rtl w:val="0"/>
        </w:rPr>
        <w:t xml:space="preserve"> Supporting Exploration 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0" w:before="12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62625" cy="2400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Figure 1: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Class distribution for Dataset 1 (CAM-LDS), confirming the near-balanced 46%/54% split.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40" w:before="12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481763" cy="6819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Figure 2: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Per-feature distribution plots (benign vs. attack) for all 20 engineered features in Dataset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0" w:before="12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695929" cy="511968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29" cy="511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Figure 3: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Correlation matrix heatmap for Dataset 1's 20 engineered features; pairs with |r|&gt;0.7 discussed in §3.2.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40" w:before="12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413238" cy="418623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238" cy="418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Figure 4: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Point-biserial correlation between each feature and the label (benign=0/attack=1), Dataset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0" w:before="12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702196" cy="280620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196" cy="2806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Figure 5: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Class distribution for Dataset 2 (CasinoLimit), 4-technique subset, 17.1% attack / 82.9% benign.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40" w:before="12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378922" cy="6500813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8922" cy="650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Figure 6: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Per-feature distribution plots (benign vs. attack) for CasinoLimit's 17 shared features (log1p scale for continuous features).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40" w:before="12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920458" cy="442436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0458" cy="442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Figure 7: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Correlation matrix heatmap for CasinoLimit's 17 shared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40" w:before="12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348288" cy="3507391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507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Figure 8: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Point-biserial correlation between each feature and the label, Dataset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40" w:before="12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503911" cy="281704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3911" cy="2817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Figure 9: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Random Forest feature importance ranking, Dataset 1 (CAM-LDS), 20 features. Top-ranked: uid_changed, failed_call_count, seq_length, events_per_second, failed_call_rate.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40" w:before="12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538913" cy="282614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282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Figure 10: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Random Forest feature importance ranking, Dataset 2 (CasinoLimit), 17 features. Top-ranked: file_access_count, exec_count, euid_root, auid_euid_mismatch, seq_length.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before="12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298802" cy="6415088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8802" cy="641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60" w:before="10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e7c86"/>
          <w:sz w:val="20"/>
          <w:szCs w:val="20"/>
          <w:rtl w:val="0"/>
        </w:rPr>
        <w:t xml:space="preserve">Figure 11: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b6b79"/>
          <w:sz w:val="20"/>
          <w:szCs w:val="20"/>
          <w:rtl w:val="0"/>
        </w:rPr>
        <w:t xml:space="preserve">Cross-dataset distribution comparison (log1p scale), all 17 shared features, CAM-LDS vs. CasinoLimit.</w:t>
      </w:r>
      <w:r w:rsidDel="00000000" w:rsidR="00000000" w:rsidRPr="00000000">
        <w:rPr>
          <w:rtl w:val="0"/>
        </w:rPr>
      </w:r>
    </w:p>
    <w:sectPr>
      <w:footerReference r:id="rId24" w:type="default"/>
      <w:type w:val="nextPage"/>
      <w:pgSz w:h="15840" w:w="12240" w:orient="portrait"/>
      <w:pgMar w:bottom="1080" w:top="108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pBdr>
        <w:top w:color="c7d0d9" w:space="4" w:sz="4" w:val="single"/>
      </w:pBdr>
      <w:tabs>
        <w:tab w:val="right" w:leader="none" w:pos="9360"/>
      </w:tabs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2433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24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footer" Target="footer1.xml"/><Relationship Id="rId22" Type="http://schemas.openxmlformats.org/officeDocument/2006/relationships/image" Target="media/image5.png"/><Relationship Id="rId10" Type="http://schemas.openxmlformats.org/officeDocument/2006/relationships/header" Target="header1.xml"/><Relationship Id="rId21" Type="http://schemas.openxmlformats.org/officeDocument/2006/relationships/image" Target="media/image1.png"/><Relationship Id="rId13" Type="http://schemas.openxmlformats.org/officeDocument/2006/relationships/image" Target="media/image6.png"/><Relationship Id="rId24" Type="http://schemas.openxmlformats.org/officeDocument/2006/relationships/footer" Target="footer3.xml"/><Relationship Id="rId12" Type="http://schemas.openxmlformats.org/officeDocument/2006/relationships/footer" Target="footer2.xm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odeliyac@mail.tau.ac.il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hyperlink" Target="mailto:alinl@mail.tau.ac.il" TargetMode="External"/><Relationship Id="rId8" Type="http://schemas.openxmlformats.org/officeDocument/2006/relationships/hyperlink" Target="mailto:liorpernik@mail.tau.ac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Vw/UMCkigvuZM8+wriHKitFCiw==">CgMxLjA4AHIhMURacmk1RWpBRWxBdWR3WFFKZGRZa2hsTnVCbUZ0QVR5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