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CodeJS”,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904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740"/>
        <w:gridCol w:w="2090"/>
        <w:gridCol w:w="1282"/>
        <w:gridCol w:w="1305"/>
        <w:gridCol w:w="1105"/>
      </w:tblGrid>
      <w:tr w:rsidR="00BC5D8B" w:rsidRPr="005C2AF1" w14:paraId="5D5A4593" w14:textId="77777777" w:rsidTr="00BC5D8B">
        <w:tc>
          <w:tcPr>
            <w:tcW w:w="251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740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090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1305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105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/PropTypes</w:t>
            </w:r>
          </w:p>
        </w:tc>
      </w:tr>
      <w:tr w:rsidR="00BC5D8B" w:rsidRPr="0030201E" w14:paraId="755A5127" w14:textId="77777777" w:rsidTr="00BC5D8B">
        <w:trPr>
          <w:trHeight w:val="359"/>
        </w:trPr>
        <w:tc>
          <w:tcPr>
            <w:tcW w:w="251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740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090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appTitle: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BC5D8B" w:rsidRPr="00642657" w14:paraId="13D75418" w14:textId="77777777" w:rsidTr="00BC5D8B">
        <w:trPr>
          <w:trHeight w:val="337"/>
        </w:trPr>
        <w:tc>
          <w:tcPr>
            <w:tcW w:w="251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740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090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r w:rsidR="00ED4D52">
              <w:rPr>
                <w:sz w:val="13"/>
                <w:szCs w:val="14"/>
                <w:lang w:val="en-US"/>
              </w:rPr>
              <w:t>HeaderLogo</w:t>
            </w:r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 xml:space="preserve">ar, </w:t>
            </w:r>
            <w:r w:rsidR="00ED4D52">
              <w:rPr>
                <w:sz w:val="13"/>
                <w:szCs w:val="14"/>
                <w:lang w:val="en-US"/>
              </w:rPr>
              <w:t>HeaderNotifications</w:t>
            </w:r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3B21666B" w14:textId="77777777" w:rsidTr="00BC5D8B">
        <w:trPr>
          <w:trHeight w:val="197"/>
        </w:trPr>
        <w:tc>
          <w:tcPr>
            <w:tcW w:w="251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HeaderLogo</w:t>
            </w:r>
          </w:p>
        </w:tc>
        <w:tc>
          <w:tcPr>
            <w:tcW w:w="740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090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“onClick” method routes the user t</w:t>
            </w:r>
            <w:bookmarkStart w:id="1" w:name="_GoBack"/>
            <w:bookmarkEnd w:id="1"/>
            <w:r>
              <w:rPr>
                <w:sz w:val="13"/>
                <w:szCs w:val="14"/>
                <w:lang w:val="en-US"/>
              </w:rPr>
              <w:t>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&lt;a href=”” onClick = {handleClick}&gt;…&lt;/a&gt;</w:t>
            </w:r>
          </w:p>
        </w:tc>
        <w:tc>
          <w:tcPr>
            <w:tcW w:w="1305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5C4869C6" w14:textId="77777777" w:rsidTr="00BC5D8B">
        <w:tc>
          <w:tcPr>
            <w:tcW w:w="251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</w:p>
        </w:tc>
        <w:tc>
          <w:tcPr>
            <w:tcW w:w="740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090" w:type="dxa"/>
            <w:shd w:val="clear" w:color="auto" w:fill="auto"/>
          </w:tcPr>
          <w:p w14:paraId="6A949037" w14:textId="01850F50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HeaderSearchBar is inherited from SearchBar (8.0.0.0). HeaderSearchBar can initiate a search in all “modules” who are searchable</w:t>
            </w:r>
            <w:r w:rsidR="00700C21">
              <w:rPr>
                <w:sz w:val="13"/>
                <w:szCs w:val="14"/>
                <w:lang w:val="en-US"/>
              </w:rPr>
              <w:t xml:space="preserve"> including system-help (FAQ/HelpItems)</w:t>
            </w:r>
            <w:r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onChange=handleChange</w:t>
            </w:r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onSubmit=handleSubmit</w:t>
            </w:r>
          </w:p>
        </w:tc>
        <w:tc>
          <w:tcPr>
            <w:tcW w:w="1305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r w:rsidRPr="00387CE9">
              <w:rPr>
                <w:sz w:val="13"/>
                <w:szCs w:val="14"/>
                <w:lang w:val="en-US"/>
              </w:rPr>
              <w:t>this.state.value</w:t>
            </w:r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(formfieldvalue)</w:t>
            </w:r>
          </w:p>
        </w:tc>
        <w:tc>
          <w:tcPr>
            <w:tcW w:w="1105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44AB0F76" w14:textId="77777777" w:rsidTr="00BC5D8B">
        <w:trPr>
          <w:trHeight w:val="197"/>
        </w:trPr>
        <w:tc>
          <w:tcPr>
            <w:tcW w:w="251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</w:p>
        </w:tc>
        <w:tc>
          <w:tcPr>
            <w:tcW w:w="740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090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7D10B330" w14:textId="77777777" w:rsidTr="00BC5D8B">
        <w:tc>
          <w:tcPr>
            <w:tcW w:w="251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</w:p>
        </w:tc>
        <w:tc>
          <w:tcPr>
            <w:tcW w:w="740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090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handleSelectItem</w:t>
            </w:r>
          </w:p>
        </w:tc>
        <w:tc>
          <w:tcPr>
            <w:tcW w:w="1305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40DCFF5D" w14:textId="77777777" w:rsidTr="00BC5D8B">
        <w:tc>
          <w:tcPr>
            <w:tcW w:w="251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</w:p>
        </w:tc>
        <w:tc>
          <w:tcPr>
            <w:tcW w:w="740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090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>that devides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sectionName</w:t>
            </w:r>
          </w:p>
        </w:tc>
      </w:tr>
      <w:tr w:rsidR="00BC5D8B" w:rsidRPr="004A5023" w14:paraId="0D5200C4" w14:textId="77777777" w:rsidTr="00BC5D8B">
        <w:tc>
          <w:tcPr>
            <w:tcW w:w="251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HeaderNotifications</w:t>
            </w:r>
          </w:p>
        </w:tc>
        <w:tc>
          <w:tcPr>
            <w:tcW w:w="740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090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>Closed as default. When opened show HeaderNotificationsList</w:t>
            </w:r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15B4502C" w14:textId="77777777" w:rsidTr="00BC5D8B">
        <w:tc>
          <w:tcPr>
            <w:tcW w:w="251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</w:t>
            </w:r>
          </w:p>
        </w:tc>
        <w:tc>
          <w:tcPr>
            <w:tcW w:w="740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090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HeaderNotificationsListItems</w:t>
            </w:r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handleMarkAllAsRead</w:t>
            </w:r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handleHidePanel</w:t>
            </w:r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handleShowAll</w:t>
            </w:r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handleListScroll</w:t>
            </w:r>
          </w:p>
        </w:tc>
        <w:tc>
          <w:tcPr>
            <w:tcW w:w="1305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6332E333" w14:textId="77777777" w:rsidTr="00BC5D8B">
        <w:tc>
          <w:tcPr>
            <w:tcW w:w="251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HeaderNotificationsListItem</w:t>
            </w:r>
          </w:p>
        </w:tc>
        <w:tc>
          <w:tcPr>
            <w:tcW w:w="740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090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handleMarkAsRead</w:t>
            </w:r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  <w:r w:rsidR="00B9223C">
              <w:rPr>
                <w:sz w:val="13"/>
                <w:szCs w:val="14"/>
                <w:lang w:val="en-US"/>
              </w:rPr>
              <w:t>/handleSelectItem</w:t>
            </w:r>
          </w:p>
        </w:tc>
        <w:tc>
          <w:tcPr>
            <w:tcW w:w="1305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4C69E82E" w14:textId="77777777" w:rsidTr="00BC5D8B">
        <w:tc>
          <w:tcPr>
            <w:tcW w:w="251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</w:p>
        </w:tc>
        <w:tc>
          <w:tcPr>
            <w:tcW w:w="740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090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</w:p>
        </w:tc>
        <w:tc>
          <w:tcPr>
            <w:tcW w:w="1105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18344028" w14:textId="77777777" w:rsidTr="00BC5D8B">
        <w:tc>
          <w:tcPr>
            <w:tcW w:w="251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</w:p>
        </w:tc>
        <w:tc>
          <w:tcPr>
            <w:tcW w:w="740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090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handleClick</w:t>
            </w:r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handleLoadImage</w:t>
            </w:r>
          </w:p>
        </w:tc>
        <w:tc>
          <w:tcPr>
            <w:tcW w:w="1305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8F6CEE" w14:paraId="68B3A6A8" w14:textId="77777777" w:rsidTr="00BC5D8B">
        <w:tc>
          <w:tcPr>
            <w:tcW w:w="251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090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list displaying menuitems (HeaderUserProfileListItems)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863276" w14:paraId="2E623E1F" w14:textId="77777777" w:rsidTr="00BC5D8B">
        <w:tc>
          <w:tcPr>
            <w:tcW w:w="251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40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090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863276" w14:paraId="620D22EF" w14:textId="77777777" w:rsidTr="00BC5D8B">
        <w:tc>
          <w:tcPr>
            <w:tcW w:w="251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27B00" w14:paraId="0FEF67C0" w14:textId="77777777" w:rsidTr="00BC5D8B">
        <w:tc>
          <w:tcPr>
            <w:tcW w:w="2518" w:type="dxa"/>
          </w:tcPr>
          <w:p w14:paraId="5DC1B73D" w14:textId="50E96E7D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</w:t>
            </w:r>
          </w:p>
        </w:tc>
        <w:tc>
          <w:tcPr>
            <w:tcW w:w="740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090" w:type="dxa"/>
            <w:shd w:val="clear" w:color="auto" w:fill="auto"/>
          </w:tcPr>
          <w:p w14:paraId="1A4D9DC9" w14:textId="37AC4443" w:rsidR="00CB472D" w:rsidRPr="00CA7CD8" w:rsidRDefault="00CB472D" w:rsidP="00642657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to the left. </w:t>
            </w:r>
            <w:r w:rsidR="00642657">
              <w:rPr>
                <w:sz w:val="13"/>
                <w:szCs w:val="14"/>
                <w:lang w:val="en-US"/>
              </w:rPr>
              <w:t>Drawer</w:t>
            </w:r>
            <w:r>
              <w:rPr>
                <w:sz w:val="13"/>
                <w:szCs w:val="14"/>
                <w:lang w:val="en-US"/>
              </w:rPr>
              <w:t xml:space="preserve"> works as primary single entry navigation to the main “scenes” of the App. </w:t>
            </w:r>
            <w:r w:rsidR="00642657">
              <w:rPr>
                <w:sz w:val="13"/>
                <w:szCs w:val="14"/>
                <w:lang w:val="en-US"/>
              </w:rPr>
              <w:t>Drawer</w:t>
            </w:r>
            <w:r w:rsidR="00F34941">
              <w:rPr>
                <w:sz w:val="13"/>
                <w:szCs w:val="14"/>
                <w:lang w:val="en-US"/>
              </w:rPr>
              <w:t xml:space="preserve">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6BFE2572" w14:textId="0260985D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CB472D">
              <w:rPr>
                <w:sz w:val="13"/>
                <w:szCs w:val="14"/>
                <w:lang w:val="en-US"/>
              </w:rPr>
              <w:t xml:space="preserve">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BC5D8B" w:rsidRPr="00B27B00" w14:paraId="46C43694" w14:textId="77777777" w:rsidTr="00BC5D8B">
        <w:trPr>
          <w:trHeight w:val="197"/>
        </w:trPr>
        <w:tc>
          <w:tcPr>
            <w:tcW w:w="2518" w:type="dxa"/>
          </w:tcPr>
          <w:p w14:paraId="28B086CC" w14:textId="0EB32C7C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740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4786F447" w14:textId="35AFD699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48D8F88E" w14:textId="7FC2F6F7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F34941">
              <w:rPr>
                <w:sz w:val="13"/>
                <w:szCs w:val="14"/>
                <w:lang w:val="en-US"/>
              </w:rPr>
              <w:t>pen: bool</w:t>
            </w:r>
          </w:p>
        </w:tc>
      </w:tr>
      <w:tr w:rsidR="00BC5D8B" w:rsidRPr="00B27B00" w14:paraId="27D404E4" w14:textId="77777777" w:rsidTr="00BC5D8B">
        <w:trPr>
          <w:trHeight w:val="197"/>
        </w:trPr>
        <w:tc>
          <w:tcPr>
            <w:tcW w:w="2518" w:type="dxa"/>
          </w:tcPr>
          <w:p w14:paraId="26D150F5" w14:textId="2A610963" w:rsidR="00CB472D" w:rsidRPr="005C2AF1" w:rsidRDefault="00642657" w:rsidP="00F64372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</w:t>
            </w:r>
            <w:r w:rsidR="00CB472D"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05D4D06A" w14:textId="77777777" w:rsidTr="00BC5D8B">
        <w:trPr>
          <w:trHeight w:val="197"/>
        </w:trPr>
        <w:tc>
          <w:tcPr>
            <w:tcW w:w="2518" w:type="dxa"/>
          </w:tcPr>
          <w:p w14:paraId="09DDE13E" w14:textId="5183E694" w:rsidR="00CB472D" w:rsidRPr="005C2AF1" w:rsidRDefault="00642657" w:rsidP="00642657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</w:t>
            </w:r>
            <w:r w:rsidR="00CB472D">
              <w:rPr>
                <w:sz w:val="15"/>
                <w:szCs w:val="14"/>
                <w:lang w:val="en-US"/>
              </w:rPr>
              <w:t>List</w:t>
            </w:r>
            <w:r w:rsidR="00CB472D"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740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0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487D0E19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0092B91E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  <w:r w:rsidR="00B954A3">
              <w:rPr>
                <w:sz w:val="13"/>
                <w:szCs w:val="14"/>
                <w:lang w:val="en-US"/>
              </w:rPr>
              <w:t>/12/edit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</w:t>
            </w:r>
            <w:r>
              <w:rPr>
                <w:sz w:val="13"/>
                <w:szCs w:val="14"/>
                <w:lang w:val="en-US"/>
              </w:rPr>
              <w:lastRenderedPageBreak/>
              <w:t xml:space="preserve">to encourage codesplitting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lastRenderedPageBreak/>
              <w:t>onClick</w:t>
            </w:r>
          </w:p>
        </w:tc>
        <w:tc>
          <w:tcPr>
            <w:tcW w:w="1305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BC5D8B" w:rsidRPr="00642657" w14:paraId="3FC7FAB2" w14:textId="77777777" w:rsidTr="00BC5D8B">
        <w:trPr>
          <w:trHeight w:val="197"/>
        </w:trPr>
        <w:tc>
          <w:tcPr>
            <w:tcW w:w="2518" w:type="dxa"/>
          </w:tcPr>
          <w:p w14:paraId="255E0629" w14:textId="174940E9" w:rsidR="00CB472D" w:rsidRPr="005C2AF1" w:rsidRDefault="00CB472D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lastRenderedPageBreak/>
              <w:t>MenuUser</w:t>
            </w:r>
            <w:r>
              <w:rPr>
                <w:sz w:val="15"/>
                <w:szCs w:val="14"/>
                <w:lang w:val="en-US"/>
              </w:rPr>
              <w:t>List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740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19E0D91E" w14:textId="3D913664" w:rsidR="00CB472D" w:rsidRPr="00CA7CD8" w:rsidRDefault="007D3556" w:rsidP="00642657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list of custom </w:t>
            </w:r>
            <w:r w:rsidR="004675F0">
              <w:rPr>
                <w:sz w:val="13"/>
                <w:szCs w:val="14"/>
                <w:lang w:val="en-US"/>
              </w:rPr>
              <w:t>menu item</w:t>
            </w:r>
            <w:r w:rsidR="0031172C">
              <w:rPr>
                <w:sz w:val="13"/>
                <w:szCs w:val="14"/>
                <w:lang w:val="en-US"/>
              </w:rPr>
              <w:t>s</w:t>
            </w:r>
            <w:r w:rsidR="004675F0">
              <w:rPr>
                <w:sz w:val="13"/>
                <w:szCs w:val="14"/>
                <w:lang w:val="en-US"/>
              </w:rPr>
              <w:t xml:space="preserve"> the user can attach to the menu </w:t>
            </w:r>
            <w:r w:rsidR="00642657">
              <w:rPr>
                <w:sz w:val="13"/>
                <w:szCs w:val="14"/>
                <w:lang w:val="en-US"/>
              </w:rPr>
              <w:t>drawer</w:t>
            </w:r>
            <w:r w:rsidR="004675F0"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160CD2" w14:paraId="1D8645C7" w14:textId="77777777" w:rsidTr="00BC5D8B">
        <w:trPr>
          <w:trHeight w:val="197"/>
        </w:trPr>
        <w:tc>
          <w:tcPr>
            <w:tcW w:w="2518" w:type="dxa"/>
          </w:tcPr>
          <w:p w14:paraId="7DD31C2A" w14:textId="7A4D75EF" w:rsidR="006871E8" w:rsidRPr="005C2AF1" w:rsidRDefault="006871E8" w:rsidP="00642657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MenuUserListItem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740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0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onClick/OnAttach</w:t>
            </w:r>
          </w:p>
        </w:tc>
        <w:tc>
          <w:tcPr>
            <w:tcW w:w="1305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160CD2" w14:paraId="0BB89EEE" w14:textId="77777777" w:rsidTr="00BC5D8B">
        <w:trPr>
          <w:trHeight w:val="197"/>
        </w:trPr>
        <w:tc>
          <w:tcPr>
            <w:tcW w:w="2518" w:type="dxa"/>
          </w:tcPr>
          <w:p w14:paraId="01EE079E" w14:textId="7E969635" w:rsidR="006871E8" w:rsidRPr="005C2AF1" w:rsidRDefault="006871E8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MenuUser</w:t>
            </w:r>
            <w:r>
              <w:rPr>
                <w:sz w:val="15"/>
                <w:szCs w:val="14"/>
                <w:lang w:val="en-US"/>
              </w:rPr>
              <w:t>ListSearch</w:t>
            </w:r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740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090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0A7ACD2A" w14:textId="77777777" w:rsidTr="00BC5D8B">
        <w:trPr>
          <w:trHeight w:val="197"/>
        </w:trPr>
        <w:tc>
          <w:tcPr>
            <w:tcW w:w="2518" w:type="dxa"/>
          </w:tcPr>
          <w:p w14:paraId="579EA7D3" w14:textId="0ABE4055" w:rsidR="006871E8" w:rsidRPr="005C2AF1" w:rsidRDefault="006871E8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AppMarket</w:t>
            </w:r>
          </w:p>
        </w:tc>
        <w:tc>
          <w:tcPr>
            <w:tcW w:w="740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BC5D8B" w:rsidRPr="00642657" w14:paraId="509EDDDA" w14:textId="77777777" w:rsidTr="00BC5D8B">
        <w:trPr>
          <w:trHeight w:val="197"/>
        </w:trPr>
        <w:tc>
          <w:tcPr>
            <w:tcW w:w="2518" w:type="dxa"/>
          </w:tcPr>
          <w:p w14:paraId="1B0FFDA5" w14:textId="3FB6A198" w:rsidR="006871E8" w:rsidRDefault="006871E8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AppMarket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090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A7D9E" w14:paraId="4FA32AAD" w14:textId="77777777" w:rsidTr="00BC5D8B">
        <w:trPr>
          <w:trHeight w:val="197"/>
        </w:trPr>
        <w:tc>
          <w:tcPr>
            <w:tcW w:w="2518" w:type="dxa"/>
          </w:tcPr>
          <w:p w14:paraId="58454101" w14:textId="5C621E35" w:rsidR="000A7D9E" w:rsidRDefault="000A7D9E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AppMarket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40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090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href: string</w:t>
            </w:r>
          </w:p>
        </w:tc>
      </w:tr>
      <w:tr w:rsidR="00BC5D8B" w:rsidRPr="000A7D9E" w14:paraId="47739960" w14:textId="77777777" w:rsidTr="00BC5D8B">
        <w:trPr>
          <w:trHeight w:val="197"/>
        </w:trPr>
        <w:tc>
          <w:tcPr>
            <w:tcW w:w="251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C641C5" w14:paraId="69473159" w14:textId="77777777" w:rsidTr="00BC5D8B">
        <w:trPr>
          <w:trHeight w:val="197"/>
        </w:trPr>
        <w:tc>
          <w:tcPr>
            <w:tcW w:w="251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740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090" w:type="dxa"/>
            <w:shd w:val="clear" w:color="auto" w:fill="auto"/>
          </w:tcPr>
          <w:p w14:paraId="42B5A330" w14:textId="1CC5AD99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B7D54">
              <w:rPr>
                <w:sz w:val="13"/>
                <w:szCs w:val="14"/>
                <w:lang w:val="en-US"/>
              </w:rPr>
              <w:t xml:space="preserve"> executed from the </w:t>
            </w:r>
            <w:r w:rsidR="00B634A0">
              <w:rPr>
                <w:sz w:val="13"/>
                <w:szCs w:val="14"/>
                <w:lang w:val="en-US"/>
              </w:rPr>
              <w:t>MenuPanelListItem</w:t>
            </w:r>
            <w:r w:rsidR="003E31DA">
              <w:rPr>
                <w:sz w:val="13"/>
                <w:szCs w:val="14"/>
                <w:lang w:val="en-US"/>
              </w:rPr>
              <w:t>. If the workspace is empty</w:t>
            </w:r>
            <w:r w:rsidR="00B634A0">
              <w:rPr>
                <w:sz w:val="13"/>
                <w:szCs w:val="14"/>
                <w:lang w:val="en-US"/>
              </w:rPr>
              <w:t>,</w:t>
            </w:r>
            <w:r w:rsidR="003E31DA">
              <w:rPr>
                <w:sz w:val="13"/>
                <w:szCs w:val="14"/>
                <w:lang w:val="en-US"/>
              </w:rPr>
              <w:t xml:space="preserve"> populated is set to “false”.</w:t>
            </w:r>
            <w:r w:rsidR="00C641C5">
              <w:rPr>
                <w:sz w:val="13"/>
                <w:szCs w:val="14"/>
                <w:lang w:val="en-US"/>
              </w:rPr>
              <w:t xml:space="preserve"> </w:t>
            </w:r>
            <w:r w:rsidR="003A2042">
              <w:rPr>
                <w:sz w:val="13"/>
                <w:szCs w:val="14"/>
                <w:lang w:val="en-US"/>
              </w:rPr>
              <w:t>(Do we need this component at all?)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unmountScenes</w:t>
            </w:r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onPopulation</w:t>
            </w:r>
          </w:p>
        </w:tc>
        <w:tc>
          <w:tcPr>
            <w:tcW w:w="1305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his.state.populated</w:t>
            </w:r>
          </w:p>
        </w:tc>
        <w:tc>
          <w:tcPr>
            <w:tcW w:w="1105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BC5D8B" w:rsidRPr="00642657" w14:paraId="76EF1E77" w14:textId="77777777" w:rsidTr="00BC5D8B">
        <w:tc>
          <w:tcPr>
            <w:tcW w:w="251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090" w:type="dxa"/>
            <w:shd w:val="clear" w:color="auto" w:fill="auto"/>
          </w:tcPr>
          <w:p w14:paraId="49470B03" w14:textId="551642C0" w:rsidR="000A7D9E" w:rsidRPr="00CA7CD8" w:rsidRDefault="00774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Component which has both “static” and undeletable tabs and “dynamic” tabs which are constructed by content</w:t>
            </w: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C641C5" w14:paraId="19F8D254" w14:textId="77777777" w:rsidTr="00BC5D8B">
        <w:tc>
          <w:tcPr>
            <w:tcW w:w="251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WorkspaceMainTabItem</w:t>
            </w:r>
          </w:p>
        </w:tc>
        <w:tc>
          <w:tcPr>
            <w:tcW w:w="740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090" w:type="dxa"/>
            <w:shd w:val="clear" w:color="auto" w:fill="auto"/>
          </w:tcPr>
          <w:p w14:paraId="1D7D0DB3" w14:textId="09CE7463" w:rsidR="000A7D9E" w:rsidRPr="00CA7CD8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1063A65" w14:textId="5053B48F" w:rsidR="000A7D9E" w:rsidRPr="006B0AEE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61834FD6" w14:textId="701F046A" w:rsidR="000A7D9E" w:rsidRPr="000B1A6B" w:rsidRDefault="000B1A6B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105" w:type="dxa"/>
            <w:shd w:val="clear" w:color="auto" w:fill="auto"/>
          </w:tcPr>
          <w:p w14:paraId="059AAD59" w14:textId="611F61DC" w:rsidR="000A7D9E" w:rsidRPr="00D76C2A" w:rsidRDefault="000B1A6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BC5D8B" w:rsidRPr="005C2AF1" w14:paraId="02F235CC" w14:textId="77777777" w:rsidTr="00BC5D8B">
        <w:tc>
          <w:tcPr>
            <w:tcW w:w="251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WorkspaceSuperTabList</w:t>
            </w:r>
          </w:p>
        </w:tc>
        <w:tc>
          <w:tcPr>
            <w:tcW w:w="740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090" w:type="dxa"/>
            <w:shd w:val="clear" w:color="auto" w:fill="auto"/>
          </w:tcPr>
          <w:p w14:paraId="37082615" w14:textId="7AA65A62" w:rsidR="000A7D9E" w:rsidRPr="00CA7CD8" w:rsidRDefault="00C265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Super tablist component</w:t>
            </w: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EA9C573" w14:textId="66FADEB9" w:rsidR="000A7D9E" w:rsidRPr="00BF5D9C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C2655A" w14:paraId="689A5EC6" w14:textId="77777777" w:rsidTr="00BC5D8B">
        <w:tc>
          <w:tcPr>
            <w:tcW w:w="2518" w:type="dxa"/>
          </w:tcPr>
          <w:p w14:paraId="60CEE7E2" w14:textId="15907BCD" w:rsidR="002E2F93" w:rsidRDefault="002E2F93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WorkspaceSuperTabItem</w:t>
            </w:r>
          </w:p>
        </w:tc>
        <w:tc>
          <w:tcPr>
            <w:tcW w:w="740" w:type="dxa"/>
          </w:tcPr>
          <w:p w14:paraId="21067940" w14:textId="3DFAEC1A" w:rsidR="002E2F93" w:rsidRPr="005C2AF1" w:rsidRDefault="002E2F93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090" w:type="dxa"/>
            <w:shd w:val="clear" w:color="auto" w:fill="auto"/>
          </w:tcPr>
          <w:p w14:paraId="40456D1D" w14:textId="76CDAE45" w:rsidR="002E2F93" w:rsidRPr="00CA7CD8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200EAF1B" w14:textId="4BA372F8" w:rsidR="002E2F93" w:rsidRPr="006B0AEE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4277C0BC" w14:textId="0887AB9C" w:rsidR="002E2F93" w:rsidRPr="00BF5D9C" w:rsidRDefault="002E2F93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105" w:type="dxa"/>
            <w:shd w:val="clear" w:color="auto" w:fill="auto"/>
          </w:tcPr>
          <w:p w14:paraId="0729C5EA" w14:textId="44261D28" w:rsidR="002E2F93" w:rsidRPr="00D76C2A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BC5D8B" w:rsidRPr="005C2AF1" w14:paraId="0B7253A8" w14:textId="77777777" w:rsidTr="00BC5D8B">
        <w:tc>
          <w:tcPr>
            <w:tcW w:w="2518" w:type="dxa"/>
          </w:tcPr>
          <w:p w14:paraId="09E3E01A" w14:textId="73020A75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WorkspaceSubTabList</w:t>
            </w:r>
          </w:p>
        </w:tc>
        <w:tc>
          <w:tcPr>
            <w:tcW w:w="740" w:type="dxa"/>
          </w:tcPr>
          <w:p w14:paraId="54BE3EC7" w14:textId="69BDFD1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090" w:type="dxa"/>
            <w:shd w:val="clear" w:color="auto" w:fill="auto"/>
          </w:tcPr>
          <w:p w14:paraId="0CF1A307" w14:textId="41DF97A0" w:rsidR="00E64B06" w:rsidRPr="00CA7CD8" w:rsidRDefault="00E64B06" w:rsidP="00E64B0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Sub tablist component</w:t>
            </w:r>
          </w:p>
        </w:tc>
        <w:tc>
          <w:tcPr>
            <w:tcW w:w="1282" w:type="dxa"/>
          </w:tcPr>
          <w:p w14:paraId="04A579A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D080841" w14:textId="6E606F94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8316EBF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B885D5E" w14:textId="77777777" w:rsidTr="00BC5D8B">
        <w:tc>
          <w:tcPr>
            <w:tcW w:w="2518" w:type="dxa"/>
          </w:tcPr>
          <w:p w14:paraId="061552CA" w14:textId="493CC7D8" w:rsidR="00FA72AC" w:rsidRDefault="00FA72AC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WorkspaceSubTabItem</w:t>
            </w:r>
          </w:p>
        </w:tc>
        <w:tc>
          <w:tcPr>
            <w:tcW w:w="740" w:type="dxa"/>
          </w:tcPr>
          <w:p w14:paraId="47A59123" w14:textId="4975A832" w:rsidR="00FA72AC" w:rsidRPr="005C2AF1" w:rsidRDefault="00FA72AC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090" w:type="dxa"/>
            <w:shd w:val="clear" w:color="auto" w:fill="auto"/>
          </w:tcPr>
          <w:p w14:paraId="6D944212" w14:textId="6D2602F1" w:rsidR="00FA72AC" w:rsidRPr="00CA7CD8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6143E2F" w14:textId="664BBAD4" w:rsidR="00FA72AC" w:rsidRPr="006B0AEE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6BB79B5B" w14:textId="024B4AC9" w:rsidR="00FA72AC" w:rsidRPr="00BF5D9C" w:rsidRDefault="00FA72AC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105" w:type="dxa"/>
            <w:shd w:val="clear" w:color="auto" w:fill="auto"/>
          </w:tcPr>
          <w:p w14:paraId="7DCFE4C5" w14:textId="1D80A67C" w:rsidR="00FA72AC" w:rsidRPr="00D76C2A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BC5D8B" w:rsidRPr="005C2AF1" w14:paraId="1B3F967A" w14:textId="77777777" w:rsidTr="00BC5D8B">
        <w:tc>
          <w:tcPr>
            <w:tcW w:w="2518" w:type="dxa"/>
          </w:tcPr>
          <w:p w14:paraId="0F6AE65F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04D918CF" w14:textId="0C692975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4A9CCD6" w14:textId="77777777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1241E49" w14:textId="51A23676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1AAA9C4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11783E79" w14:textId="77777777" w:rsidTr="00BC5D8B">
        <w:tc>
          <w:tcPr>
            <w:tcW w:w="2518" w:type="dxa"/>
          </w:tcPr>
          <w:p w14:paraId="1288B7BA" w14:textId="3BCB77FF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740" w:type="dxa"/>
          </w:tcPr>
          <w:p w14:paraId="4BBB30FB" w14:textId="6AAF0FE3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090" w:type="dxa"/>
            <w:shd w:val="clear" w:color="auto" w:fill="auto"/>
          </w:tcPr>
          <w:p w14:paraId="75CBFE59" w14:textId="6CD33F71" w:rsidR="00E64B06" w:rsidRPr="00CA7CD8" w:rsidRDefault="00AC548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Main footer component</w:t>
            </w:r>
            <w:r w:rsidR="003D5C21">
              <w:rPr>
                <w:sz w:val="13"/>
                <w:szCs w:val="14"/>
                <w:lang w:val="en-US"/>
              </w:rPr>
              <w:t xml:space="preserve"> which encapculates a label and the App </w:t>
            </w:r>
            <w:r w:rsidR="00A4070E">
              <w:rPr>
                <w:sz w:val="13"/>
                <w:szCs w:val="14"/>
                <w:lang w:val="en-US"/>
              </w:rPr>
              <w:t>system-</w:t>
            </w:r>
            <w:r w:rsidR="003D5C21">
              <w:rPr>
                <w:sz w:val="13"/>
                <w:szCs w:val="14"/>
                <w:lang w:val="en-US"/>
              </w:rPr>
              <w:t>help</w:t>
            </w:r>
          </w:p>
        </w:tc>
        <w:tc>
          <w:tcPr>
            <w:tcW w:w="1282" w:type="dxa"/>
          </w:tcPr>
          <w:p w14:paraId="6412D43B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DE98C93" w14:textId="2555B523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3C2C123" w14:textId="7FF2D854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45D19BB4" w14:textId="77777777" w:rsidTr="00BC5D8B">
        <w:tc>
          <w:tcPr>
            <w:tcW w:w="2518" w:type="dxa"/>
          </w:tcPr>
          <w:p w14:paraId="0369FB89" w14:textId="07C732E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FooterLabel</w:t>
            </w:r>
          </w:p>
        </w:tc>
        <w:tc>
          <w:tcPr>
            <w:tcW w:w="740" w:type="dxa"/>
          </w:tcPr>
          <w:p w14:paraId="75C2BCD4" w14:textId="277876E2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090" w:type="dxa"/>
            <w:shd w:val="clear" w:color="auto" w:fill="auto"/>
          </w:tcPr>
          <w:p w14:paraId="0E61BA3E" w14:textId="182CAF7B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5632922C" w14:textId="4164D77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D1E7DEB" w14:textId="0F44F796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BC5D8B" w:rsidRPr="00353A1D" w14:paraId="710A9ED5" w14:textId="77777777" w:rsidTr="00BC5D8B">
        <w:tc>
          <w:tcPr>
            <w:tcW w:w="2518" w:type="dxa"/>
          </w:tcPr>
          <w:p w14:paraId="17B1B614" w14:textId="7FF88368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FooterHelp</w:t>
            </w:r>
          </w:p>
        </w:tc>
        <w:tc>
          <w:tcPr>
            <w:tcW w:w="740" w:type="dxa"/>
          </w:tcPr>
          <w:p w14:paraId="1ADE8A68" w14:textId="5D62BA1F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090" w:type="dxa"/>
            <w:shd w:val="clear" w:color="auto" w:fill="auto"/>
          </w:tcPr>
          <w:p w14:paraId="648A79C7" w14:textId="384E2B4A" w:rsidR="00E64B06" w:rsidRPr="00CA7CD8" w:rsidRDefault="0028499E" w:rsidP="00F53990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</w:t>
            </w:r>
            <w:r w:rsidR="00A4070E">
              <w:rPr>
                <w:sz w:val="13"/>
                <w:szCs w:val="14"/>
                <w:lang w:val="en-US"/>
              </w:rPr>
              <w:t xml:space="preserve">ystem-help </w:t>
            </w:r>
            <w:r w:rsidR="00353A1D">
              <w:rPr>
                <w:sz w:val="13"/>
                <w:szCs w:val="14"/>
                <w:lang w:val="en-US"/>
              </w:rPr>
              <w:t>–</w:t>
            </w:r>
            <w:r w:rsidR="00040BBD">
              <w:rPr>
                <w:sz w:val="13"/>
                <w:szCs w:val="14"/>
                <w:lang w:val="en-US"/>
              </w:rPr>
              <w:t xml:space="preserve"> </w:t>
            </w:r>
            <w:r w:rsidR="00353A1D">
              <w:rPr>
                <w:sz w:val="13"/>
                <w:szCs w:val="14"/>
                <w:lang w:val="en-US"/>
              </w:rPr>
              <w:t xml:space="preserve">a main feature that promotes content-sensitive help for all views, scenes and actions on screen. </w:t>
            </w:r>
            <w:r w:rsidR="00BC6D9C">
              <w:rPr>
                <w:sz w:val="13"/>
                <w:szCs w:val="14"/>
                <w:lang w:val="en-US"/>
              </w:rPr>
              <w:t xml:space="preserve">Divided into </w:t>
            </w:r>
            <w:r w:rsidR="00F53990">
              <w:rPr>
                <w:sz w:val="13"/>
                <w:szCs w:val="14"/>
                <w:lang w:val="en-US"/>
              </w:rPr>
              <w:t>2 answer FAQ, FAQ and contact/chat (</w:t>
            </w:r>
            <w:hyperlink r:id="rId8" w:history="1">
              <w:r w:rsidR="00F53990" w:rsidRPr="00A960C6">
                <w:rPr>
                  <w:rStyle w:val="Hyperlink"/>
                  <w:sz w:val="13"/>
                  <w:szCs w:val="14"/>
                  <w:lang w:val="en-US"/>
                </w:rPr>
                <w:t>https://www.intercom.com</w:t>
              </w:r>
            </w:hyperlink>
            <w:r w:rsidR="00F53990">
              <w:rPr>
                <w:sz w:val="13"/>
                <w:szCs w:val="14"/>
                <w:lang w:val="en-US"/>
              </w:rPr>
              <w:t xml:space="preserve">) </w:t>
            </w:r>
          </w:p>
        </w:tc>
        <w:tc>
          <w:tcPr>
            <w:tcW w:w="1282" w:type="dxa"/>
          </w:tcPr>
          <w:p w14:paraId="5B64526D" w14:textId="2AB0A0BA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onToggle</w:t>
            </w:r>
          </w:p>
        </w:tc>
        <w:tc>
          <w:tcPr>
            <w:tcW w:w="1305" w:type="dxa"/>
          </w:tcPr>
          <w:p w14:paraId="2F6EBF1B" w14:textId="12622CFB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6A6334B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53A1D" w14:paraId="4E4B7B4E" w14:textId="77777777" w:rsidTr="00BC5D8B">
        <w:tc>
          <w:tcPr>
            <w:tcW w:w="2518" w:type="dxa"/>
          </w:tcPr>
          <w:p w14:paraId="5BEF9D8A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068F7DF3" w14:textId="09AAEF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486D5349" w14:textId="1D890760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520E6F2" w14:textId="32BB171C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A489A11" w14:textId="0275EAFF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3EC10B97" w14:textId="77777777" w:rsidTr="00BC5D8B">
        <w:tc>
          <w:tcPr>
            <w:tcW w:w="2518" w:type="dxa"/>
          </w:tcPr>
          <w:p w14:paraId="2B7ADADA" w14:textId="74687DF0" w:rsidR="008C6210" w:rsidRPr="005C2AF1" w:rsidRDefault="008C621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r w:rsidR="00001F03">
              <w:rPr>
                <w:b/>
                <w:sz w:val="15"/>
                <w:szCs w:val="14"/>
                <w:lang w:val="en-US"/>
              </w:rPr>
              <w:t xml:space="preserve"> (TERMINATED)</w:t>
            </w:r>
          </w:p>
        </w:tc>
        <w:tc>
          <w:tcPr>
            <w:tcW w:w="740" w:type="dxa"/>
          </w:tcPr>
          <w:p w14:paraId="0C084689" w14:textId="74B6136E" w:rsidR="008C6210" w:rsidRPr="005C2AF1" w:rsidRDefault="008C6210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090" w:type="dxa"/>
            <w:shd w:val="clear" w:color="auto" w:fill="auto"/>
          </w:tcPr>
          <w:p w14:paraId="3E687192" w14:textId="77777777" w:rsidR="00CF4BDE" w:rsidRDefault="008C6210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</w:t>
            </w:r>
            <w:r w:rsidR="00965B65">
              <w:rPr>
                <w:sz w:val="13"/>
                <w:szCs w:val="14"/>
                <w:lang w:val="en-US"/>
              </w:rPr>
              <w:t>notification</w:t>
            </w:r>
            <w:r>
              <w:rPr>
                <w:sz w:val="13"/>
                <w:szCs w:val="14"/>
                <w:lang w:val="en-US"/>
              </w:rPr>
              <w:t xml:space="preserve"> drawer panel to the </w:t>
            </w:r>
            <w:r w:rsidR="00965B65">
              <w:rPr>
                <w:sz w:val="13"/>
                <w:szCs w:val="14"/>
                <w:lang w:val="en-US"/>
              </w:rPr>
              <w:t>right</w:t>
            </w:r>
            <w:r>
              <w:rPr>
                <w:sz w:val="13"/>
                <w:szCs w:val="14"/>
                <w:lang w:val="en-US"/>
              </w:rPr>
              <w:t xml:space="preserve">. Panel </w:t>
            </w:r>
            <w:r w:rsidR="00965B65">
              <w:rPr>
                <w:sz w:val="13"/>
                <w:szCs w:val="14"/>
                <w:lang w:val="en-US"/>
              </w:rPr>
              <w:t xml:space="preserve">shows a list of notifications which are the same list accessible in the header. </w:t>
            </w:r>
          </w:p>
          <w:p w14:paraId="01C7BE17" w14:textId="6482D2E0" w:rsidR="008C6210" w:rsidRPr="00CA7CD8" w:rsidRDefault="00B41A98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580FAB15" w14:textId="5BB8B64F" w:rsidR="008C6210" w:rsidRPr="006B0AEE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66D43678" w14:textId="5836CF49" w:rsidR="008C6210" w:rsidRPr="00BF5D9C" w:rsidRDefault="008C621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763A89B0" w14:textId="49BB1483" w:rsidR="008C6210" w:rsidRPr="00D76C2A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BC5D8B" w:rsidRPr="005C2AF1" w14:paraId="54B979E7" w14:textId="77777777" w:rsidTr="00BC5D8B">
        <w:tc>
          <w:tcPr>
            <w:tcW w:w="2518" w:type="dxa"/>
          </w:tcPr>
          <w:p w14:paraId="36BCFCF6" w14:textId="63D0428C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NotificationPanelToggle</w:t>
            </w:r>
          </w:p>
        </w:tc>
        <w:tc>
          <w:tcPr>
            <w:tcW w:w="740" w:type="dxa"/>
          </w:tcPr>
          <w:p w14:paraId="2C29124B" w14:textId="0D89BDE9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090" w:type="dxa"/>
            <w:shd w:val="clear" w:color="auto" w:fill="auto"/>
          </w:tcPr>
          <w:p w14:paraId="398913F1" w14:textId="72D7BD36" w:rsidR="00E64B06" w:rsidRPr="00CA7CD8" w:rsidRDefault="00CF4BDE" w:rsidP="00BA6FFC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1BF2A0A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ACEDCAA" w14:textId="6C23294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CF456F9" w14:textId="39CC90B1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52345BF7" w14:textId="77777777" w:rsidTr="00BC5D8B">
        <w:tc>
          <w:tcPr>
            <w:tcW w:w="2518" w:type="dxa"/>
          </w:tcPr>
          <w:p w14:paraId="625D12AF" w14:textId="4795F23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7236C100" w14:textId="615AE3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090" w:type="dxa"/>
            <w:shd w:val="clear" w:color="auto" w:fill="auto"/>
          </w:tcPr>
          <w:p w14:paraId="64F944BC" w14:textId="2EC9EF93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7A8570E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9CEBC75" w14:textId="4609A17F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B20BE61" w14:textId="540000B0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ACC9A10" w14:textId="77777777" w:rsidTr="00BC5D8B">
        <w:tc>
          <w:tcPr>
            <w:tcW w:w="2518" w:type="dxa"/>
          </w:tcPr>
          <w:p w14:paraId="24557EFE" w14:textId="5E79FD66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740" w:type="dxa"/>
          </w:tcPr>
          <w:p w14:paraId="70FB3717" w14:textId="1DB3639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0" w:type="dxa"/>
            <w:shd w:val="clear" w:color="auto" w:fill="auto"/>
          </w:tcPr>
          <w:p w14:paraId="2D9C1582" w14:textId="4868EAF4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31ED8D1C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7F1EA87" w14:textId="6C486F9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6BF0FC3" w14:textId="395B6E7B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6F490B4F" w14:textId="77777777" w:rsidTr="00BC5D8B">
        <w:tc>
          <w:tcPr>
            <w:tcW w:w="2518" w:type="dxa"/>
          </w:tcPr>
          <w:p w14:paraId="2F86BBD5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7C9D4E27" w14:textId="1BC07B20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6B188D4A" w14:textId="77777777" w:rsidR="00E64B06" w:rsidRPr="00CA7CD8" w:rsidRDefault="00E64B06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7F14F1D" w14:textId="014B26E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F74CF7E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ADBBDEB" w14:textId="77777777" w:rsidTr="00BC5D8B">
        <w:tc>
          <w:tcPr>
            <w:tcW w:w="2518" w:type="dxa"/>
          </w:tcPr>
          <w:p w14:paraId="6CFB9F30" w14:textId="69549FEA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Message</w:t>
            </w:r>
            <w:r w:rsidR="00042739">
              <w:rPr>
                <w:b/>
                <w:sz w:val="15"/>
                <w:szCs w:val="14"/>
                <w:lang w:val="en-US"/>
              </w:rPr>
              <w:t>sDrawer</w:t>
            </w:r>
          </w:p>
        </w:tc>
        <w:tc>
          <w:tcPr>
            <w:tcW w:w="740" w:type="dxa"/>
          </w:tcPr>
          <w:p w14:paraId="6043BD53" w14:textId="35DBCE99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090" w:type="dxa"/>
            <w:shd w:val="clear" w:color="auto" w:fill="auto"/>
          </w:tcPr>
          <w:p w14:paraId="78E1472A" w14:textId="7577D0F2" w:rsidR="009F5F20" w:rsidRPr="00CA7CD8" w:rsidRDefault="009F5F20" w:rsidP="009F5F20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messages drawer to the right. </w:t>
            </w:r>
            <w:r w:rsidR="00042739">
              <w:rPr>
                <w:sz w:val="13"/>
                <w:szCs w:val="14"/>
                <w:lang w:val="en-US"/>
              </w:rPr>
              <w:t>Drawer</w:t>
            </w:r>
            <w:r>
              <w:rPr>
                <w:sz w:val="13"/>
                <w:szCs w:val="14"/>
                <w:lang w:val="en-US"/>
              </w:rPr>
              <w:t xml:space="preserve"> shows a list of users and their online/offline status. Toggle drawer is located on MenuPanel</w:t>
            </w:r>
          </w:p>
          <w:p w14:paraId="50273DFA" w14:textId="3464D76D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1ED69691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0C818880" w14:textId="295B006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605E4075" w14:textId="232A82ED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BC5D8B" w:rsidRPr="005C2AF1" w14:paraId="125A09FE" w14:textId="77777777" w:rsidTr="00BC5D8B">
        <w:tc>
          <w:tcPr>
            <w:tcW w:w="2518" w:type="dxa"/>
          </w:tcPr>
          <w:p w14:paraId="6397F8A8" w14:textId="000B2D2F" w:rsidR="009F5F20" w:rsidRDefault="009F5F20" w:rsidP="00042739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</w:t>
            </w:r>
            <w:r w:rsidR="00042739">
              <w:rPr>
                <w:sz w:val="15"/>
                <w:szCs w:val="14"/>
                <w:lang w:val="en-US"/>
              </w:rPr>
              <w:t>sDrawer</w:t>
            </w:r>
            <w:r>
              <w:rPr>
                <w:sz w:val="15"/>
                <w:szCs w:val="14"/>
                <w:lang w:val="en-US"/>
              </w:rPr>
              <w:t>Search</w:t>
            </w:r>
          </w:p>
        </w:tc>
        <w:tc>
          <w:tcPr>
            <w:tcW w:w="740" w:type="dxa"/>
          </w:tcPr>
          <w:p w14:paraId="1505DD20" w14:textId="44CAC6DB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090" w:type="dxa"/>
            <w:shd w:val="clear" w:color="auto" w:fill="auto"/>
          </w:tcPr>
          <w:p w14:paraId="43511060" w14:textId="53820504" w:rsidR="009F5F20" w:rsidRPr="00CA7CD8" w:rsidRDefault="001043C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Search for users</w:t>
            </w:r>
            <w:r w:rsidR="003A68DA">
              <w:rPr>
                <w:sz w:val="13"/>
                <w:lang w:val="en-US"/>
              </w:rPr>
              <w:t xml:space="preserve"> limits list with queried users</w:t>
            </w:r>
          </w:p>
        </w:tc>
        <w:tc>
          <w:tcPr>
            <w:tcW w:w="1282" w:type="dxa"/>
          </w:tcPr>
          <w:p w14:paraId="394345AB" w14:textId="5A096FF8" w:rsidR="009F5F20" w:rsidRPr="006B0AEE" w:rsidRDefault="001043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handleSubmit</w:t>
            </w:r>
          </w:p>
        </w:tc>
        <w:tc>
          <w:tcPr>
            <w:tcW w:w="1305" w:type="dxa"/>
          </w:tcPr>
          <w:p w14:paraId="17EE02D4" w14:textId="7A917505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0EF2B3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4F17D605" w14:textId="77777777" w:rsidTr="00BC5D8B">
        <w:tc>
          <w:tcPr>
            <w:tcW w:w="2518" w:type="dxa"/>
          </w:tcPr>
          <w:p w14:paraId="0C17E27C" w14:textId="421D3CE5" w:rsidR="009F5F20" w:rsidRDefault="00042739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740" w:type="dxa"/>
          </w:tcPr>
          <w:p w14:paraId="73793B28" w14:textId="323B895D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090" w:type="dxa"/>
            <w:shd w:val="clear" w:color="auto" w:fill="auto"/>
          </w:tcPr>
          <w:p w14:paraId="6F489C15" w14:textId="046C3BCA" w:rsidR="009F5F20" w:rsidRPr="00CA7CD8" w:rsidRDefault="00EF440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All, Online, Offline tabs</w:t>
            </w:r>
          </w:p>
        </w:tc>
        <w:tc>
          <w:tcPr>
            <w:tcW w:w="1282" w:type="dxa"/>
          </w:tcPr>
          <w:p w14:paraId="46DE6851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F98CADD" w14:textId="64D47D7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3AB563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C4F27B5" w14:textId="77777777" w:rsidTr="00BC5D8B">
        <w:tc>
          <w:tcPr>
            <w:tcW w:w="2518" w:type="dxa"/>
          </w:tcPr>
          <w:p w14:paraId="5A2A1071" w14:textId="3E11FCBC" w:rsidR="009F5F20" w:rsidRDefault="00042739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0C7F3060" w14:textId="31118B6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090" w:type="dxa"/>
            <w:shd w:val="clear" w:color="auto" w:fill="auto"/>
          </w:tcPr>
          <w:p w14:paraId="00C9ADA1" w14:textId="33DBB11C" w:rsidR="009F5F20" w:rsidRPr="00CA7CD8" w:rsidRDefault="00C318D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List of users</w:t>
            </w:r>
          </w:p>
        </w:tc>
        <w:tc>
          <w:tcPr>
            <w:tcW w:w="1282" w:type="dxa"/>
          </w:tcPr>
          <w:p w14:paraId="19FDBDE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416A313" w14:textId="5D54D1B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37AE27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0348D770" w14:textId="77777777" w:rsidTr="00BC5D8B">
        <w:tc>
          <w:tcPr>
            <w:tcW w:w="2518" w:type="dxa"/>
          </w:tcPr>
          <w:p w14:paraId="2DFC6129" w14:textId="14E03338" w:rsidR="009F5F20" w:rsidRPr="005C2AF1" w:rsidRDefault="00042739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40" w:type="dxa"/>
          </w:tcPr>
          <w:p w14:paraId="38FC3738" w14:textId="10B0B1C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090" w:type="dxa"/>
            <w:shd w:val="clear" w:color="auto" w:fill="auto"/>
          </w:tcPr>
          <w:p w14:paraId="16311FC6" w14:textId="647F7C25" w:rsidR="009F5F20" w:rsidRPr="00CA7CD8" w:rsidRDefault="002652A2" w:rsidP="00A7434F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user item</w:t>
            </w:r>
          </w:p>
        </w:tc>
        <w:tc>
          <w:tcPr>
            <w:tcW w:w="1282" w:type="dxa"/>
          </w:tcPr>
          <w:p w14:paraId="4D7A3796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59CA493" w14:textId="366B4D1E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5629DB5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621B2272" w14:textId="77777777" w:rsidTr="00BC5D8B">
        <w:tc>
          <w:tcPr>
            <w:tcW w:w="2518" w:type="dxa"/>
          </w:tcPr>
          <w:p w14:paraId="0CBFB88E" w14:textId="0D75475B" w:rsidR="009F5F20" w:rsidRPr="005C2AF1" w:rsidRDefault="00042739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ListItemClosed</w:t>
            </w:r>
          </w:p>
        </w:tc>
        <w:tc>
          <w:tcPr>
            <w:tcW w:w="740" w:type="dxa"/>
          </w:tcPr>
          <w:p w14:paraId="4735F13D" w14:textId="51E1BE64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090" w:type="dxa"/>
            <w:shd w:val="clear" w:color="auto" w:fill="auto"/>
          </w:tcPr>
          <w:p w14:paraId="3F282624" w14:textId="2F80D050" w:rsidR="009F5F20" w:rsidRPr="00CA7CD8" w:rsidRDefault="00CD5095" w:rsidP="00CD509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 closed window/chatbox. Chatboxes are attached to the footer</w:t>
            </w:r>
          </w:p>
        </w:tc>
        <w:tc>
          <w:tcPr>
            <w:tcW w:w="1282" w:type="dxa"/>
          </w:tcPr>
          <w:p w14:paraId="503BE76D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24C0607" w14:textId="64B35E7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98FF0F1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094F0508" w14:textId="77777777" w:rsidTr="00BC5D8B">
        <w:tc>
          <w:tcPr>
            <w:tcW w:w="2518" w:type="dxa"/>
          </w:tcPr>
          <w:p w14:paraId="581FB1F0" w14:textId="7D71C55E" w:rsidR="009F5F20" w:rsidRPr="005C2AF1" w:rsidRDefault="00042739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ListItemOpen</w:t>
            </w:r>
          </w:p>
        </w:tc>
        <w:tc>
          <w:tcPr>
            <w:tcW w:w="740" w:type="dxa"/>
          </w:tcPr>
          <w:p w14:paraId="5C010E37" w14:textId="115878B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090" w:type="dxa"/>
            <w:shd w:val="clear" w:color="auto" w:fill="auto"/>
          </w:tcPr>
          <w:p w14:paraId="0B43EDA0" w14:textId="5BB541D2" w:rsidR="009F5F20" w:rsidRPr="00CA7CD8" w:rsidRDefault="00B83EE1" w:rsidP="00B83EE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an open window/chatbox.</w:t>
            </w:r>
          </w:p>
        </w:tc>
        <w:tc>
          <w:tcPr>
            <w:tcW w:w="1282" w:type="dxa"/>
          </w:tcPr>
          <w:p w14:paraId="5CEE7938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7FFD0B7" w14:textId="252A258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BF6E229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5583B8E" w14:textId="77777777" w:rsidTr="00BC5D8B">
        <w:tc>
          <w:tcPr>
            <w:tcW w:w="2518" w:type="dxa"/>
          </w:tcPr>
          <w:p w14:paraId="63A33E94" w14:textId="6FE0461D" w:rsidR="009F5F20" w:rsidRPr="005C2AF1" w:rsidRDefault="00042739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ItemOpenAddUser</w:t>
            </w:r>
          </w:p>
        </w:tc>
        <w:tc>
          <w:tcPr>
            <w:tcW w:w="740" w:type="dxa"/>
          </w:tcPr>
          <w:p w14:paraId="0F090E53" w14:textId="6C54A8A1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090" w:type="dxa"/>
            <w:shd w:val="clear" w:color="auto" w:fill="auto"/>
          </w:tcPr>
          <w:p w14:paraId="20E18505" w14:textId="77777777" w:rsidR="009F5F20" w:rsidRPr="00CA7CD8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6B8DC6C" w14:textId="43AD36A1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CECD946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041E329" w14:textId="77777777" w:rsidTr="00BC5D8B">
        <w:tc>
          <w:tcPr>
            <w:tcW w:w="2518" w:type="dxa"/>
          </w:tcPr>
          <w:p w14:paraId="300974BE" w14:textId="268D8661" w:rsidR="009F5F20" w:rsidRPr="005C2AF1" w:rsidRDefault="00042739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ItemOpenFeed</w:t>
            </w:r>
          </w:p>
        </w:tc>
        <w:tc>
          <w:tcPr>
            <w:tcW w:w="740" w:type="dxa"/>
          </w:tcPr>
          <w:p w14:paraId="17A1701C" w14:textId="5D3ACA35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090" w:type="dxa"/>
            <w:shd w:val="clear" w:color="auto" w:fill="auto"/>
          </w:tcPr>
          <w:p w14:paraId="6A61690A" w14:textId="6EBBA89F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6079853" w14:textId="435376BF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C6B6D03" w14:textId="2798242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435D31D0" w14:textId="77777777" w:rsidTr="00BC5D8B">
        <w:tc>
          <w:tcPr>
            <w:tcW w:w="2518" w:type="dxa"/>
          </w:tcPr>
          <w:p w14:paraId="58F6F342" w14:textId="3DAD35DD" w:rsidR="009F5F20" w:rsidRDefault="00042739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ItemOpenCompose</w:t>
            </w:r>
          </w:p>
        </w:tc>
        <w:tc>
          <w:tcPr>
            <w:tcW w:w="740" w:type="dxa"/>
          </w:tcPr>
          <w:p w14:paraId="5237E5A9" w14:textId="592196D8" w:rsidR="009F5F20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090" w:type="dxa"/>
            <w:shd w:val="clear" w:color="auto" w:fill="auto"/>
          </w:tcPr>
          <w:p w14:paraId="522557FB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DAD250D" w14:textId="2699B40B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673610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59AA5D4" w14:textId="77777777" w:rsidTr="00BC5D8B">
        <w:tc>
          <w:tcPr>
            <w:tcW w:w="2518" w:type="dxa"/>
          </w:tcPr>
          <w:p w14:paraId="4D0D3D79" w14:textId="77777777" w:rsidR="009F5F20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19A0B9C1" w14:textId="1D297D39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92EE4A9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1707202F" w14:textId="2A7B9ED0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76A571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FBA16C6" w14:textId="77777777" w:rsidTr="00BC5D8B">
        <w:tc>
          <w:tcPr>
            <w:tcW w:w="2518" w:type="dxa"/>
          </w:tcPr>
          <w:p w14:paraId="58C5E4A4" w14:textId="0FA8C915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</w:p>
        </w:tc>
        <w:tc>
          <w:tcPr>
            <w:tcW w:w="740" w:type="dxa"/>
          </w:tcPr>
          <w:p w14:paraId="409DC8A1" w14:textId="63EF7B54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090" w:type="dxa"/>
            <w:shd w:val="clear" w:color="auto" w:fill="auto"/>
          </w:tcPr>
          <w:p w14:paraId="243B11C0" w14:textId="22966FC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924A75A" w14:textId="017C37E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E34EECD" w14:textId="41D934C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57F3B5DE" w14:textId="77777777" w:rsidTr="00BC5D8B">
        <w:tc>
          <w:tcPr>
            <w:tcW w:w="2518" w:type="dxa"/>
          </w:tcPr>
          <w:p w14:paraId="6F1BB197" w14:textId="5936D171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WindowModalLogin</w:t>
            </w:r>
          </w:p>
        </w:tc>
        <w:tc>
          <w:tcPr>
            <w:tcW w:w="740" w:type="dxa"/>
          </w:tcPr>
          <w:p w14:paraId="6772E810" w14:textId="2334AD23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090" w:type="dxa"/>
            <w:shd w:val="clear" w:color="auto" w:fill="auto"/>
          </w:tcPr>
          <w:p w14:paraId="31C65C4C" w14:textId="670123E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1CFA63B" w14:textId="56CB274E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628D803" w14:textId="481EE5D4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6FDC472" w14:textId="77777777" w:rsidTr="00BC5D8B">
        <w:tc>
          <w:tcPr>
            <w:tcW w:w="2518" w:type="dxa"/>
          </w:tcPr>
          <w:p w14:paraId="7E968417" w14:textId="270DB95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740" w:type="dxa"/>
          </w:tcPr>
          <w:p w14:paraId="5B335E96" w14:textId="36E2DA2D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090" w:type="dxa"/>
            <w:shd w:val="clear" w:color="auto" w:fill="auto"/>
          </w:tcPr>
          <w:p w14:paraId="61090B7E" w14:textId="01F3DCEE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30ABDD6" w14:textId="50C22CC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E218525" w14:textId="533F112F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706D2E1" w14:textId="77777777" w:rsidTr="00BC5D8B">
        <w:tc>
          <w:tcPr>
            <w:tcW w:w="2518" w:type="dxa"/>
          </w:tcPr>
          <w:p w14:paraId="5E5088CC" w14:textId="7777777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5EEE22E1" w14:textId="32D4FD9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C39417A" w14:textId="4545645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1B91D7F7" w14:textId="4DE6C81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516CEC2" w14:textId="61D2D292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30F554B3" w14:textId="77777777" w:rsidTr="00BC5D8B">
        <w:tc>
          <w:tcPr>
            <w:tcW w:w="2518" w:type="dxa"/>
          </w:tcPr>
          <w:p w14:paraId="6A1C2DAA" w14:textId="548BF78D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</w:p>
        </w:tc>
        <w:tc>
          <w:tcPr>
            <w:tcW w:w="740" w:type="dxa"/>
          </w:tcPr>
          <w:p w14:paraId="1A33639D" w14:textId="489BAF61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EC28C24" w14:textId="2EF517F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887361D" w14:textId="07D3805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633EC19" w14:textId="1DDEC9B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0625D2E8" w14:textId="77777777" w:rsidTr="00BC5D8B">
        <w:tc>
          <w:tcPr>
            <w:tcW w:w="2518" w:type="dxa"/>
          </w:tcPr>
          <w:p w14:paraId="5CED4AE2" w14:textId="18A4B7D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</w:t>
            </w:r>
          </w:p>
        </w:tc>
        <w:tc>
          <w:tcPr>
            <w:tcW w:w="740" w:type="dxa"/>
          </w:tcPr>
          <w:p w14:paraId="38FEAD1F" w14:textId="069621C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090" w:type="dxa"/>
            <w:shd w:val="clear" w:color="auto" w:fill="auto"/>
          </w:tcPr>
          <w:p w14:paraId="79EF5399" w14:textId="2F850D74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SearchBar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D671143" w14:textId="7342ABA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60E1AC6" w14:textId="3BE49EB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077F0" w14:paraId="0CC21EB2" w14:textId="77777777" w:rsidTr="00BC5D8B">
        <w:tc>
          <w:tcPr>
            <w:tcW w:w="2518" w:type="dxa"/>
          </w:tcPr>
          <w:p w14:paraId="4AF04E6C" w14:textId="4DF2B44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Notifications</w:t>
            </w:r>
          </w:p>
        </w:tc>
        <w:tc>
          <w:tcPr>
            <w:tcW w:w="740" w:type="dxa"/>
          </w:tcPr>
          <w:p w14:paraId="25041DB4" w14:textId="5FD776F5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090" w:type="dxa"/>
            <w:shd w:val="clear" w:color="auto" w:fill="auto"/>
          </w:tcPr>
          <w:p w14:paraId="263DBADF" w14:textId="1856455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936B582" w14:textId="48262D9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2DE146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077F0" w14:paraId="511C74EB" w14:textId="77777777" w:rsidTr="00BC5D8B">
        <w:tc>
          <w:tcPr>
            <w:tcW w:w="2518" w:type="dxa"/>
          </w:tcPr>
          <w:p w14:paraId="67612180" w14:textId="4BBE476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740" w:type="dxa"/>
          </w:tcPr>
          <w:p w14:paraId="144F2915" w14:textId="7777777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3BE7CE97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17CABF0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80EF6BC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077F0" w14:paraId="3BEED0DC" w14:textId="77777777" w:rsidTr="00BC5D8B">
        <w:tc>
          <w:tcPr>
            <w:tcW w:w="2518" w:type="dxa"/>
          </w:tcPr>
          <w:p w14:paraId="37EFD9A9" w14:textId="72FAF26A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UserProfile</w:t>
            </w:r>
          </w:p>
        </w:tc>
        <w:tc>
          <w:tcPr>
            <w:tcW w:w="740" w:type="dxa"/>
          </w:tcPr>
          <w:p w14:paraId="1BE2735F" w14:textId="78A6C56B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1540A085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B5AD4AC" w14:textId="2ED5C10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69DB9D5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60DC56C1" w14:textId="77777777" w:rsidTr="00BC5D8B">
        <w:tc>
          <w:tcPr>
            <w:tcW w:w="2518" w:type="dxa"/>
          </w:tcPr>
          <w:p w14:paraId="04F82E34" w14:textId="2032B88F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740" w:type="dxa"/>
          </w:tcPr>
          <w:p w14:paraId="54E0D14E" w14:textId="18A164AC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2B462765" w14:textId="1F4628C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D62145A" w14:textId="1FACCD6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6B38AAF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07AE8FA2" w14:textId="77777777" w:rsidTr="00BC5D8B">
        <w:tc>
          <w:tcPr>
            <w:tcW w:w="2518" w:type="dxa"/>
          </w:tcPr>
          <w:p w14:paraId="6C2D2D2F" w14:textId="6B748414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740" w:type="dxa"/>
          </w:tcPr>
          <w:p w14:paraId="25F18385" w14:textId="46B3134A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E546656" w14:textId="28F0DFC7" w:rsidR="009F5F20" w:rsidRPr="00CA7CD8" w:rsidRDefault="0049185D" w:rsidP="00AD3D3D">
            <w:pPr>
              <w:rPr>
                <w:sz w:val="13"/>
                <w:szCs w:val="14"/>
                <w:lang w:val="en-US"/>
              </w:rPr>
            </w:pPr>
            <w:hyperlink r:id="rId9" w:history="1">
              <w:r w:rsidR="009F5F20"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6E6F80B" w14:textId="6787564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C668C7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642657" w14:paraId="7CD30062" w14:textId="77777777" w:rsidTr="00BC5D8B">
        <w:tc>
          <w:tcPr>
            <w:tcW w:w="2518" w:type="dxa"/>
          </w:tcPr>
          <w:p w14:paraId="00EDE9C4" w14:textId="40AED85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DisplayImage</w:t>
            </w:r>
          </w:p>
        </w:tc>
        <w:tc>
          <w:tcPr>
            <w:tcW w:w="740" w:type="dxa"/>
          </w:tcPr>
          <w:p w14:paraId="422DB41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6E626617" w14:textId="6A1ADA3D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>Could be a component wrapper for the method handleLoadImage</w:t>
            </w:r>
          </w:p>
        </w:tc>
        <w:tc>
          <w:tcPr>
            <w:tcW w:w="1282" w:type="dxa"/>
          </w:tcPr>
          <w:p w14:paraId="4FF36B34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86484A1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340ED0D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BC5D8B" w:rsidRPr="00642657" w14:paraId="45D2494D" w14:textId="77777777" w:rsidTr="00BC5D8B">
        <w:tc>
          <w:tcPr>
            <w:tcW w:w="2518" w:type="dxa"/>
          </w:tcPr>
          <w:p w14:paraId="6B1D496C" w14:textId="2F52DDB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DisplayIcon</w:t>
            </w:r>
          </w:p>
        </w:tc>
        <w:tc>
          <w:tcPr>
            <w:tcW w:w="740" w:type="dxa"/>
          </w:tcPr>
          <w:p w14:paraId="5D96A274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6E31D78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23C035B" w14:textId="77777777" w:rsidR="009F5F20" w:rsidRPr="0006508B" w:rsidRDefault="009F5F20" w:rsidP="00513D15">
            <w:pPr>
              <w:rPr>
                <w:sz w:val="13"/>
                <w:szCs w:val="14"/>
                <w:lang w:val="en-US"/>
              </w:rPr>
            </w:pPr>
            <w:r w:rsidRPr="0006508B">
              <w:rPr>
                <w:sz w:val="13"/>
                <w:szCs w:val="14"/>
                <w:lang w:val="en-US"/>
              </w:rPr>
              <w:t>&lt;</w:t>
            </w:r>
            <w:r w:rsidRPr="00AF53DC">
              <w:rPr>
                <w:sz w:val="13"/>
                <w:szCs w:val="14"/>
                <w:lang w:val="en-US"/>
              </w:rPr>
              <w:t xml:space="preserve">DisplayIcon </w:t>
            </w:r>
            <w:r w:rsidRPr="0006508B">
              <w:rPr>
                <w:sz w:val="13"/>
                <w:szCs w:val="14"/>
                <w:lang w:val="en-US"/>
              </w:rPr>
              <w:t>color={color(active)</w:t>
            </w:r>
            <w:r w:rsidRPr="00AF53DC">
              <w:rPr>
                <w:sz w:val="13"/>
                <w:szCs w:val="14"/>
                <w:lang w:val="en-US"/>
              </w:rPr>
              <w:t xml:space="preserve"> iconname={‘dashboard’</w:t>
            </w:r>
            <w:r w:rsidRPr="0006508B">
              <w:rPr>
                <w:sz w:val="13"/>
                <w:szCs w:val="14"/>
                <w:lang w:val="en-US"/>
              </w:rPr>
              <w:t>}</w:t>
            </w:r>
            <w:r w:rsidRPr="00AF53DC">
              <w:rPr>
                <w:sz w:val="13"/>
                <w:szCs w:val="14"/>
                <w:lang w:val="en-US"/>
              </w:rPr>
              <w:t xml:space="preserve"> </w:t>
            </w:r>
            <w:r w:rsidRPr="0006508B">
              <w:rPr>
                <w:sz w:val="13"/>
                <w:szCs w:val="14"/>
                <w:lang w:val="en-US"/>
              </w:rPr>
              <w:t>/&gt;</w:t>
            </w:r>
          </w:p>
          <w:p w14:paraId="01EE82E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6217B2A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F59DF47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color:</w:t>
            </w:r>
          </w:p>
          <w:p w14:paraId="6DB3960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active: bool</w:t>
            </w:r>
          </w:p>
          <w:p w14:paraId="332F70CF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iconname: string</w:t>
            </w:r>
          </w:p>
          <w:p w14:paraId="3D7ED586" w14:textId="4160B751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 xml:space="preserve">size: number </w:t>
            </w:r>
          </w:p>
        </w:tc>
      </w:tr>
      <w:tr w:rsidR="00BC5D8B" w:rsidRPr="00AD3D3D" w14:paraId="47F391E9" w14:textId="77777777" w:rsidTr="00BC5D8B">
        <w:tc>
          <w:tcPr>
            <w:tcW w:w="2518" w:type="dxa"/>
          </w:tcPr>
          <w:p w14:paraId="3592355D" w14:textId="66316DD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ThemeProvider</w:t>
            </w:r>
          </w:p>
        </w:tc>
        <w:tc>
          <w:tcPr>
            <w:tcW w:w="740" w:type="dxa"/>
          </w:tcPr>
          <w:p w14:paraId="45161052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A7CE3F7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470403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15C2B3E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01C07F47" w14:textId="77777777" w:rsidTr="00BC5D8B">
        <w:tc>
          <w:tcPr>
            <w:tcW w:w="2518" w:type="dxa"/>
          </w:tcPr>
          <w:p w14:paraId="2379BCC9" w14:textId="50DF69A2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740" w:type="dxa"/>
          </w:tcPr>
          <w:p w14:paraId="104C392C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73A11C4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C499444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DC9CCBF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51F950CA" w14:textId="77777777" w:rsidTr="00BC5D8B">
        <w:tc>
          <w:tcPr>
            <w:tcW w:w="2518" w:type="dxa"/>
          </w:tcPr>
          <w:p w14:paraId="17B6BEFF" w14:textId="649D3E5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AppName</w:t>
            </w:r>
          </w:p>
        </w:tc>
        <w:tc>
          <w:tcPr>
            <w:tcW w:w="740" w:type="dxa"/>
          </w:tcPr>
          <w:p w14:paraId="58CA08FD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9C7AF4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9BD058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094977C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F844FE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3E59B414" w14:textId="77777777" w:rsidTr="00BC5D8B">
        <w:tc>
          <w:tcPr>
            <w:tcW w:w="2518" w:type="dxa"/>
          </w:tcPr>
          <w:p w14:paraId="1AE6EDEC" w14:textId="125E3D7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AppVersion</w:t>
            </w:r>
          </w:p>
        </w:tc>
        <w:tc>
          <w:tcPr>
            <w:tcW w:w="740" w:type="dxa"/>
          </w:tcPr>
          <w:p w14:paraId="28422557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0C9F53B3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5AAC6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C93E17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03DCFCC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77D7BC68" w14:textId="77777777" w:rsidTr="00BC5D8B">
        <w:tc>
          <w:tcPr>
            <w:tcW w:w="2518" w:type="dxa"/>
          </w:tcPr>
          <w:p w14:paraId="3D0632FA" w14:textId="2A63DB1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HelpItem</w:t>
            </w:r>
          </w:p>
        </w:tc>
        <w:tc>
          <w:tcPr>
            <w:tcW w:w="740" w:type="dxa"/>
          </w:tcPr>
          <w:p w14:paraId="31DE7EB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3FAFB01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02F6A9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6BD93D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1DDDF99" w14:textId="3FF27591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helpitem: number</w:t>
            </w: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(odeum-api</w:t>
      </w:r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513D15" w:rsidRDefault="003923D4" w:rsidP="003923D4">
      <w:pPr>
        <w:pStyle w:val="Pa1"/>
        <w:numPr>
          <w:ilvl w:val="0"/>
          <w:numId w:val="22"/>
        </w:numPr>
        <w:rPr>
          <w:rStyle w:val="A3"/>
          <w:sz w:val="21"/>
        </w:rPr>
      </w:pPr>
      <w:r w:rsidRPr="009D4532">
        <w:rPr>
          <w:rStyle w:val="A3"/>
          <w:sz w:val="21"/>
          <w:lang w:val="en-US"/>
        </w:rPr>
        <w:t>ODEUM Code.js (odeum-codejs</w:t>
      </w:r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3F6D2589" w14:textId="77777777" w:rsidR="00774F20" w:rsidRDefault="00774F20" w:rsidP="008D0203">
      <w:pPr>
        <w:rPr>
          <w:lang w:val="en-US" w:eastAsia="en-GB"/>
        </w:rPr>
      </w:pPr>
    </w:p>
    <w:p w14:paraId="5945D754" w14:textId="77777777" w:rsidR="00774F20" w:rsidRDefault="00774F20" w:rsidP="008D0203">
      <w:pPr>
        <w:rPr>
          <w:lang w:val="en-US" w:eastAsia="en-GB"/>
        </w:rPr>
      </w:pPr>
    </w:p>
    <w:p w14:paraId="2F568692" w14:textId="035F9323" w:rsidR="003923D4" w:rsidRPr="0073170B" w:rsidRDefault="00260491" w:rsidP="00040BBD">
      <w:pPr>
        <w:rPr>
          <w:lang w:val="en-US" w:eastAsia="en-GB"/>
        </w:rPr>
      </w:pPr>
      <w:r>
        <w:rPr>
          <w:noProof/>
          <w:lang w:val="en-GB" w:eastAsia="en-GB"/>
        </w:rPr>
        <w:drawing>
          <wp:inline distT="0" distB="0" distL="0" distR="0" wp14:anchorId="049C5F30" wp14:editId="327C1C21">
            <wp:extent cx="5517298" cy="48973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9.Opgaver-gittervis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57" cy="49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D4" w:rsidRPr="0073170B" w:rsidSect="00B243AC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7953A" w14:textId="77777777" w:rsidR="0049185D" w:rsidRDefault="0049185D" w:rsidP="009764BA">
      <w:r>
        <w:separator/>
      </w:r>
    </w:p>
  </w:endnote>
  <w:endnote w:type="continuationSeparator" w:id="0">
    <w:p w14:paraId="59903A80" w14:textId="77777777" w:rsidR="0049185D" w:rsidRDefault="0049185D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49185D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F24F6" w14:textId="77777777" w:rsidR="0049185D" w:rsidRDefault="0049185D" w:rsidP="009764BA">
      <w:r>
        <w:separator/>
      </w:r>
    </w:p>
  </w:footnote>
  <w:footnote w:type="continuationSeparator" w:id="0">
    <w:p w14:paraId="6865DD32" w14:textId="77777777" w:rsidR="0049185D" w:rsidRDefault="0049185D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&lt;odeum-codejs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isplayBackgroundShape/>
  <w:embedSystemFonts/>
  <w:hideSpelling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1F03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BBD"/>
    <w:rsid w:val="00040E89"/>
    <w:rsid w:val="00041FE1"/>
    <w:rsid w:val="00042739"/>
    <w:rsid w:val="00047EF8"/>
    <w:rsid w:val="0005045B"/>
    <w:rsid w:val="000511BA"/>
    <w:rsid w:val="00054288"/>
    <w:rsid w:val="00056D73"/>
    <w:rsid w:val="0006508B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A6B"/>
    <w:rsid w:val="000B1EA3"/>
    <w:rsid w:val="000C25EF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43C7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087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5654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0491"/>
    <w:rsid w:val="00261D36"/>
    <w:rsid w:val="00262EFE"/>
    <w:rsid w:val="00262F14"/>
    <w:rsid w:val="002630DD"/>
    <w:rsid w:val="0026526E"/>
    <w:rsid w:val="002652A2"/>
    <w:rsid w:val="002667A2"/>
    <w:rsid w:val="002677BD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99E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2F93"/>
    <w:rsid w:val="002E7FF0"/>
    <w:rsid w:val="002F0A74"/>
    <w:rsid w:val="00301925"/>
    <w:rsid w:val="0030201E"/>
    <w:rsid w:val="003050DD"/>
    <w:rsid w:val="00306A85"/>
    <w:rsid w:val="00310266"/>
    <w:rsid w:val="0031081E"/>
    <w:rsid w:val="0031172C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A1D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042"/>
    <w:rsid w:val="003A24CE"/>
    <w:rsid w:val="003A3E6A"/>
    <w:rsid w:val="003A587C"/>
    <w:rsid w:val="003A595F"/>
    <w:rsid w:val="003A68DA"/>
    <w:rsid w:val="003A6ACF"/>
    <w:rsid w:val="003B0849"/>
    <w:rsid w:val="003B0BA5"/>
    <w:rsid w:val="003B1D42"/>
    <w:rsid w:val="003B6DD4"/>
    <w:rsid w:val="003B7D54"/>
    <w:rsid w:val="003C3112"/>
    <w:rsid w:val="003C377D"/>
    <w:rsid w:val="003C4321"/>
    <w:rsid w:val="003C5F93"/>
    <w:rsid w:val="003C7133"/>
    <w:rsid w:val="003C77B7"/>
    <w:rsid w:val="003D500D"/>
    <w:rsid w:val="003D5C21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340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185D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4E69"/>
    <w:rsid w:val="004C78D4"/>
    <w:rsid w:val="004D16A6"/>
    <w:rsid w:val="004D2818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3D15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2657"/>
    <w:rsid w:val="0064309C"/>
    <w:rsid w:val="00643B11"/>
    <w:rsid w:val="00647CB8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B7DD4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0C21"/>
    <w:rsid w:val="007022EC"/>
    <w:rsid w:val="007115A4"/>
    <w:rsid w:val="00715B20"/>
    <w:rsid w:val="0071780D"/>
    <w:rsid w:val="00722AA8"/>
    <w:rsid w:val="00724995"/>
    <w:rsid w:val="007253E0"/>
    <w:rsid w:val="0073170B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4F20"/>
    <w:rsid w:val="00777A77"/>
    <w:rsid w:val="007814CA"/>
    <w:rsid w:val="007841CA"/>
    <w:rsid w:val="0078552C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C6210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326D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B65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1823"/>
    <w:rsid w:val="009F4593"/>
    <w:rsid w:val="009F5F20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17BC8"/>
    <w:rsid w:val="00A20123"/>
    <w:rsid w:val="00A2391F"/>
    <w:rsid w:val="00A30364"/>
    <w:rsid w:val="00A4070E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4C50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4B2C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5481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AF53DC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1A98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34A0"/>
    <w:rsid w:val="00B67B5F"/>
    <w:rsid w:val="00B67CA3"/>
    <w:rsid w:val="00B7198F"/>
    <w:rsid w:val="00B72015"/>
    <w:rsid w:val="00B74077"/>
    <w:rsid w:val="00B76EBD"/>
    <w:rsid w:val="00B81DDC"/>
    <w:rsid w:val="00B8207A"/>
    <w:rsid w:val="00B82F4C"/>
    <w:rsid w:val="00B83A5E"/>
    <w:rsid w:val="00B83EE1"/>
    <w:rsid w:val="00B84639"/>
    <w:rsid w:val="00B86979"/>
    <w:rsid w:val="00B9212D"/>
    <w:rsid w:val="00B9223C"/>
    <w:rsid w:val="00B9243B"/>
    <w:rsid w:val="00B931E1"/>
    <w:rsid w:val="00B954A3"/>
    <w:rsid w:val="00B96F7A"/>
    <w:rsid w:val="00B97462"/>
    <w:rsid w:val="00BA24FD"/>
    <w:rsid w:val="00BA5AEA"/>
    <w:rsid w:val="00BA5FB7"/>
    <w:rsid w:val="00BA662C"/>
    <w:rsid w:val="00BA6FFC"/>
    <w:rsid w:val="00BB031E"/>
    <w:rsid w:val="00BB0D4C"/>
    <w:rsid w:val="00BB3156"/>
    <w:rsid w:val="00BB4E47"/>
    <w:rsid w:val="00BB4FC5"/>
    <w:rsid w:val="00BC5D8B"/>
    <w:rsid w:val="00BC61D5"/>
    <w:rsid w:val="00BC6D9C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BF5D9C"/>
    <w:rsid w:val="00C02C9A"/>
    <w:rsid w:val="00C043FD"/>
    <w:rsid w:val="00C054BE"/>
    <w:rsid w:val="00C07FF3"/>
    <w:rsid w:val="00C144D1"/>
    <w:rsid w:val="00C178A7"/>
    <w:rsid w:val="00C201A9"/>
    <w:rsid w:val="00C2207F"/>
    <w:rsid w:val="00C258F4"/>
    <w:rsid w:val="00C25D45"/>
    <w:rsid w:val="00C25EF1"/>
    <w:rsid w:val="00C2655A"/>
    <w:rsid w:val="00C27239"/>
    <w:rsid w:val="00C318D7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41C5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1E7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5095"/>
    <w:rsid w:val="00CD6908"/>
    <w:rsid w:val="00CE2DC8"/>
    <w:rsid w:val="00CE79E3"/>
    <w:rsid w:val="00CF2DE8"/>
    <w:rsid w:val="00CF3365"/>
    <w:rsid w:val="00CF4A5F"/>
    <w:rsid w:val="00CF4BDE"/>
    <w:rsid w:val="00CF68F1"/>
    <w:rsid w:val="00CF6F50"/>
    <w:rsid w:val="00D010CD"/>
    <w:rsid w:val="00D04842"/>
    <w:rsid w:val="00D05606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1FE9"/>
    <w:rsid w:val="00D42305"/>
    <w:rsid w:val="00D4340E"/>
    <w:rsid w:val="00D43696"/>
    <w:rsid w:val="00D44560"/>
    <w:rsid w:val="00D4465A"/>
    <w:rsid w:val="00D47B5C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1734"/>
    <w:rsid w:val="00DA74A2"/>
    <w:rsid w:val="00DB075A"/>
    <w:rsid w:val="00DB0B61"/>
    <w:rsid w:val="00DB1D7D"/>
    <w:rsid w:val="00DB4114"/>
    <w:rsid w:val="00DB4F10"/>
    <w:rsid w:val="00DB66E1"/>
    <w:rsid w:val="00DB7088"/>
    <w:rsid w:val="00DC1F84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4B06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06F8"/>
    <w:rsid w:val="00EE562F"/>
    <w:rsid w:val="00EE59EC"/>
    <w:rsid w:val="00EF2809"/>
    <w:rsid w:val="00EF41B1"/>
    <w:rsid w:val="00EF4407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0C49"/>
    <w:rsid w:val="00F523FD"/>
    <w:rsid w:val="00F52B66"/>
    <w:rsid w:val="00F53990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A72AC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ntercom.com" TargetMode="External"/><Relationship Id="rId9" Type="http://schemas.openxmlformats.org/officeDocument/2006/relationships/hyperlink" Target="https://github.com/reactjs/react-tabs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8096F9-D390-764F-9283-F3D1E0DB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311</TotalTime>
  <Pages>3</Pages>
  <Words>1031</Words>
  <Characters>5880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Christian Broberg</Manager>
  <Company>WebHouse</Company>
  <LinksUpToDate>false</LinksUpToDate>
  <CharactersWithSpaces>6898</CharactersWithSpaces>
  <SharedDoc>false</SharedDoc>
  <HyperlinkBase/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ODEUM CodeJS App Components</dc:title>
  <dc:subject>Components definition and structure</dc:subject>
  <dc:creator>Christian Broberg</dc:creator>
  <cp:keywords>odeum, codejs, js, javascript, react, reactjs</cp:keywords>
  <dc:description/>
  <cp:lastModifiedBy>Christian Broberg</cp:lastModifiedBy>
  <cp:revision>163</cp:revision>
  <cp:lastPrinted>2016-10-21T10:54:00Z</cp:lastPrinted>
  <dcterms:created xsi:type="dcterms:W3CDTF">2017-03-20T15:08:00Z</dcterms:created>
  <dcterms:modified xsi:type="dcterms:W3CDTF">2017-04-09T16:29:00Z</dcterms:modified>
  <cp:category>Development</cp:category>
</cp:coreProperties>
</file>