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</w:t>
      </w:r>
      <w:bookmarkStart w:id="1" w:name="_GoBack"/>
      <w:bookmarkEnd w:id="1"/>
      <w:r w:rsidR="005627BA" w:rsidRPr="005C2AF1">
        <w:rPr>
          <w:rStyle w:val="A6"/>
          <w:sz w:val="22"/>
          <w:lang w:val="en-US"/>
        </w:rPr>
        <w:t>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205654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205654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HeaderSearchBar is inherited from SearchBar (8.0.0.0). HeaderSearchBar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(FAQ/HelpItems)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205654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MenuPanelMessages</w:t>
            </w:r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487D0E19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0092B91E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  <w:r w:rsidR="00B954A3">
              <w:rPr>
                <w:sz w:val="13"/>
                <w:szCs w:val="14"/>
                <w:lang w:val="en-US"/>
              </w:rPr>
              <w:t>/12/edit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205654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35FE0501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>menu item</w:t>
            </w:r>
            <w:r w:rsidR="0031172C">
              <w:rPr>
                <w:sz w:val="13"/>
                <w:szCs w:val="14"/>
                <w:lang w:val="en-US"/>
              </w:rPr>
              <w:t>s</w:t>
            </w:r>
            <w:r w:rsidR="004675F0">
              <w:rPr>
                <w:sz w:val="13"/>
                <w:szCs w:val="14"/>
                <w:lang w:val="en-US"/>
              </w:rPr>
              <w:t xml:space="preserve">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MenuPanelUserListItem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CB61E7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CB61E7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r w:rsidR="00B634A0">
              <w:rPr>
                <w:sz w:val="13"/>
                <w:szCs w:val="14"/>
                <w:lang w:val="en-US"/>
              </w:rPr>
              <w:t>MenuPanelListItem</w:t>
            </w:r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CB61E7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Super tablist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2E2F93" w:rsidRPr="00C2655A" w14:paraId="689A5EC6" w14:textId="77777777" w:rsidTr="00D96EFC">
        <w:tc>
          <w:tcPr>
            <w:tcW w:w="240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602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0B7253A8" w14:textId="77777777" w:rsidTr="00D96EFC">
        <w:tc>
          <w:tcPr>
            <w:tcW w:w="240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602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Sub tablist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FA72AC" w:rsidRPr="005C2AF1" w14:paraId="2B885D5E" w14:textId="77777777" w:rsidTr="00D96EFC">
        <w:tc>
          <w:tcPr>
            <w:tcW w:w="240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602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1B3F967A" w14:textId="77777777" w:rsidTr="00D96EFC">
        <w:tc>
          <w:tcPr>
            <w:tcW w:w="240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CB61E7" w14:paraId="11783E79" w14:textId="77777777" w:rsidTr="00D96EFC">
        <w:tc>
          <w:tcPr>
            <w:tcW w:w="240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encapculates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45D19BB4" w14:textId="77777777" w:rsidTr="00D96EFC">
        <w:tc>
          <w:tcPr>
            <w:tcW w:w="240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602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E64B06" w:rsidRPr="00353A1D" w14:paraId="710A9ED5" w14:textId="77777777" w:rsidTr="00D96EFC">
        <w:tc>
          <w:tcPr>
            <w:tcW w:w="240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602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844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353A1D" w14:paraId="4E4B7B4E" w14:textId="77777777" w:rsidTr="00D96EFC">
        <w:tc>
          <w:tcPr>
            <w:tcW w:w="240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C6210" w:rsidRPr="005C2AF1" w14:paraId="3EC10B97" w14:textId="77777777" w:rsidTr="00D96EFC">
        <w:tc>
          <w:tcPr>
            <w:tcW w:w="2408" w:type="dxa"/>
          </w:tcPr>
          <w:p w14:paraId="2B7ADADA" w14:textId="74687DF0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r w:rsidR="00001F03">
              <w:rPr>
                <w:b/>
                <w:sz w:val="15"/>
                <w:szCs w:val="14"/>
                <w:lang w:val="en-US"/>
              </w:rPr>
              <w:t xml:space="preserve"> (TERMINATED)</w:t>
            </w:r>
          </w:p>
        </w:tc>
        <w:tc>
          <w:tcPr>
            <w:tcW w:w="602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6482D2E0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E64B06" w:rsidRPr="005C2AF1" w14:paraId="54B979E7" w14:textId="77777777" w:rsidTr="00D96EFC">
        <w:tc>
          <w:tcPr>
            <w:tcW w:w="240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602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72D7BD36" w:rsidR="00E64B06" w:rsidRPr="00CA7CD8" w:rsidRDefault="00CF4BDE" w:rsidP="00BA6FFC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52345BF7" w14:textId="77777777" w:rsidTr="00D96EFC">
        <w:tc>
          <w:tcPr>
            <w:tcW w:w="240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2EC9EF93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1ACC9A10" w14:textId="77777777" w:rsidTr="00D96EFC">
        <w:tc>
          <w:tcPr>
            <w:tcW w:w="240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4868EAF4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6F490B4F" w14:textId="77777777" w:rsidTr="00D96EFC">
        <w:tc>
          <w:tcPr>
            <w:tcW w:w="240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ADBBDEB" w14:textId="77777777" w:rsidTr="00D96EFC">
        <w:tc>
          <w:tcPr>
            <w:tcW w:w="2408" w:type="dxa"/>
          </w:tcPr>
          <w:p w14:paraId="6CFB9F30" w14:textId="08FB0E9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</w:p>
        </w:tc>
        <w:tc>
          <w:tcPr>
            <w:tcW w:w="602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78E1472A" w14:textId="497F7203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messages drawer panel to the right. Panel shows a list of users and their online/offline status. Toggle drawer is located on MenuPanel</w:t>
            </w:r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9F5F20" w:rsidRPr="005C2AF1" w14:paraId="125A09FE" w14:textId="77777777" w:rsidTr="00D96EFC">
        <w:tc>
          <w:tcPr>
            <w:tcW w:w="2408" w:type="dxa"/>
          </w:tcPr>
          <w:p w14:paraId="6397F8A8" w14:textId="226B9D36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MessagePanelSearch</w:t>
            </w:r>
          </w:p>
        </w:tc>
        <w:tc>
          <w:tcPr>
            <w:tcW w:w="602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handleSubmit</w:t>
            </w:r>
          </w:p>
        </w:tc>
        <w:tc>
          <w:tcPr>
            <w:tcW w:w="844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F17D605" w14:textId="77777777" w:rsidTr="00D96EFC">
        <w:tc>
          <w:tcPr>
            <w:tcW w:w="2408" w:type="dxa"/>
          </w:tcPr>
          <w:p w14:paraId="0C17E27C" w14:textId="157AD8BE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MessagePanelTabs</w:t>
            </w:r>
          </w:p>
        </w:tc>
        <w:tc>
          <w:tcPr>
            <w:tcW w:w="602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C4F27B5" w14:textId="77777777" w:rsidTr="00D96EFC">
        <w:tc>
          <w:tcPr>
            <w:tcW w:w="2408" w:type="dxa"/>
          </w:tcPr>
          <w:p w14:paraId="5A2A1071" w14:textId="24D9A66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</w:t>
            </w:r>
          </w:p>
        </w:tc>
        <w:tc>
          <w:tcPr>
            <w:tcW w:w="602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0348D770" w14:textId="77777777" w:rsidTr="00D96EFC">
        <w:tc>
          <w:tcPr>
            <w:tcW w:w="2408" w:type="dxa"/>
          </w:tcPr>
          <w:p w14:paraId="2DFC6129" w14:textId="4CD070F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</w:t>
            </w:r>
          </w:p>
        </w:tc>
        <w:tc>
          <w:tcPr>
            <w:tcW w:w="602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621B2272" w14:textId="77777777" w:rsidTr="00D96EFC">
        <w:tc>
          <w:tcPr>
            <w:tcW w:w="2408" w:type="dxa"/>
          </w:tcPr>
          <w:p w14:paraId="0CBFB88E" w14:textId="73898CA3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MessagePanelListItemClosed</w:t>
            </w:r>
          </w:p>
        </w:tc>
        <w:tc>
          <w:tcPr>
            <w:tcW w:w="602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window/chatbox. Chatboxes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94F0508" w14:textId="77777777" w:rsidTr="00D96EFC">
        <w:tc>
          <w:tcPr>
            <w:tcW w:w="2408" w:type="dxa"/>
          </w:tcPr>
          <w:p w14:paraId="581FB1F0" w14:textId="7EE5472A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MessagePanelListItemOpen</w:t>
            </w:r>
          </w:p>
        </w:tc>
        <w:tc>
          <w:tcPr>
            <w:tcW w:w="602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an open window/chatbox.</w:t>
            </w:r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5583B8E" w14:textId="77777777" w:rsidTr="00D96EFC">
        <w:tc>
          <w:tcPr>
            <w:tcW w:w="2408" w:type="dxa"/>
          </w:tcPr>
          <w:p w14:paraId="63A33E94" w14:textId="3CE8238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MessagePanelItemOpenAddUser</w:t>
            </w:r>
          </w:p>
        </w:tc>
        <w:tc>
          <w:tcPr>
            <w:tcW w:w="602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041E329" w14:textId="77777777" w:rsidTr="00D96EFC">
        <w:tc>
          <w:tcPr>
            <w:tcW w:w="2408" w:type="dxa"/>
          </w:tcPr>
          <w:p w14:paraId="300974BE" w14:textId="30A6A81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MessagePanelItemOpenFeed</w:t>
            </w:r>
          </w:p>
        </w:tc>
        <w:tc>
          <w:tcPr>
            <w:tcW w:w="602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35D31D0" w14:textId="77777777" w:rsidTr="00D96EFC">
        <w:tc>
          <w:tcPr>
            <w:tcW w:w="2408" w:type="dxa"/>
          </w:tcPr>
          <w:p w14:paraId="58F6F342" w14:textId="048C265F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MessagePanelItemOpenCompose</w:t>
            </w:r>
          </w:p>
        </w:tc>
        <w:tc>
          <w:tcPr>
            <w:tcW w:w="602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59AA5D4" w14:textId="77777777" w:rsidTr="00D96EFC">
        <w:tc>
          <w:tcPr>
            <w:tcW w:w="240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FBA16C6" w14:textId="77777777" w:rsidTr="00D96EFC">
        <w:tc>
          <w:tcPr>
            <w:tcW w:w="240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602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57F3B5DE" w14:textId="77777777" w:rsidTr="00D96EFC">
        <w:tc>
          <w:tcPr>
            <w:tcW w:w="240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602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6FDC472" w14:textId="77777777" w:rsidTr="00D96EFC">
        <w:tc>
          <w:tcPr>
            <w:tcW w:w="240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602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706D2E1" w14:textId="77777777" w:rsidTr="00D96EFC">
        <w:tc>
          <w:tcPr>
            <w:tcW w:w="240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30F554B3" w14:textId="77777777" w:rsidTr="00D96EFC">
        <w:tc>
          <w:tcPr>
            <w:tcW w:w="240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602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625D2E8" w14:textId="77777777" w:rsidTr="00D96EFC">
        <w:tc>
          <w:tcPr>
            <w:tcW w:w="240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602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0CC21EB2" w14:textId="77777777" w:rsidTr="00D96EFC">
        <w:tc>
          <w:tcPr>
            <w:tcW w:w="240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602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511C74EB" w14:textId="77777777" w:rsidTr="00D96EFC">
        <w:tc>
          <w:tcPr>
            <w:tcW w:w="240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3BEED0DC" w14:textId="77777777" w:rsidTr="00D96EFC">
        <w:tc>
          <w:tcPr>
            <w:tcW w:w="240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602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60DC56C1" w14:textId="77777777" w:rsidTr="00D96EFC">
        <w:tc>
          <w:tcPr>
            <w:tcW w:w="240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7AE8FA2" w14:textId="77777777" w:rsidTr="00D96EFC">
        <w:tc>
          <w:tcPr>
            <w:tcW w:w="240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9F5F20" w:rsidRPr="00CA7CD8" w:rsidRDefault="006B7DD4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="009F5F20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7CD30062" w14:textId="77777777" w:rsidTr="00D96EFC">
        <w:tc>
          <w:tcPr>
            <w:tcW w:w="240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602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F5F20" w:rsidRPr="00CB61E7" w14:paraId="45D2494D" w14:textId="77777777" w:rsidTr="00D96EFC">
        <w:tc>
          <w:tcPr>
            <w:tcW w:w="240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602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r w:rsidRPr="00AF53DC">
              <w:rPr>
                <w:sz w:val="13"/>
                <w:szCs w:val="14"/>
                <w:lang w:val="en-US"/>
              </w:rPr>
              <w:t xml:space="preserve">DisplayIcon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iconname={‘dashboard’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iconname: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9F5F20" w:rsidRPr="00AD3D3D" w14:paraId="47F391E9" w14:textId="77777777" w:rsidTr="00D96EFC">
        <w:tc>
          <w:tcPr>
            <w:tcW w:w="240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602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01C07F47" w14:textId="77777777" w:rsidTr="00D96EFC">
        <w:tc>
          <w:tcPr>
            <w:tcW w:w="240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51F950CA" w14:textId="77777777" w:rsidTr="00D96EFC">
        <w:tc>
          <w:tcPr>
            <w:tcW w:w="240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602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3E59B414" w14:textId="77777777" w:rsidTr="00D96EFC">
        <w:tc>
          <w:tcPr>
            <w:tcW w:w="240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602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77D7BC68" w14:textId="77777777" w:rsidTr="00D96EFC">
        <w:tc>
          <w:tcPr>
            <w:tcW w:w="240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HelpItem</w:t>
            </w:r>
          </w:p>
        </w:tc>
        <w:tc>
          <w:tcPr>
            <w:tcW w:w="602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helpitem: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Pr="0073170B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D4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A425D" w14:textId="77777777" w:rsidR="006B7DD4" w:rsidRDefault="006B7DD4" w:rsidP="009764BA">
      <w:r>
        <w:separator/>
      </w:r>
    </w:p>
  </w:endnote>
  <w:endnote w:type="continuationSeparator" w:id="0">
    <w:p w14:paraId="08A9D4A6" w14:textId="77777777" w:rsidR="006B7DD4" w:rsidRDefault="006B7DD4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6B7DD4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E1B27" w14:textId="77777777" w:rsidR="006B7DD4" w:rsidRDefault="006B7DD4" w:rsidP="009764BA">
      <w:r>
        <w:separator/>
      </w:r>
    </w:p>
  </w:footnote>
  <w:footnote w:type="continuationSeparator" w:id="0">
    <w:p w14:paraId="71D3F514" w14:textId="77777777" w:rsidR="006B7DD4" w:rsidRDefault="006B7DD4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1F03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5654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172C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B7DD4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54A3"/>
    <w:rsid w:val="00B96F7A"/>
    <w:rsid w:val="00B97462"/>
    <w:rsid w:val="00BA24FD"/>
    <w:rsid w:val="00BA5AEA"/>
    <w:rsid w:val="00BA5FB7"/>
    <w:rsid w:val="00BA662C"/>
    <w:rsid w:val="00BA6FFC"/>
    <w:rsid w:val="00BB031E"/>
    <w:rsid w:val="00BB0D4C"/>
    <w:rsid w:val="00BB3156"/>
    <w:rsid w:val="00BB4E47"/>
    <w:rsid w:val="00BB4FC5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44D1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1E7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1734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B329E7-6E23-7948-9AE9-1A312A9B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305</TotalTime>
  <Pages>3</Pages>
  <Words>866</Words>
  <Characters>6099</Characters>
  <Application>Microsoft Macintosh Word</Application>
  <DocSecurity>0</DocSecurity>
  <Lines>609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Christian Broberg</Manager>
  <Company>WebHouse</Company>
  <LinksUpToDate>false</LinksUpToDate>
  <CharactersWithSpaces>6663</CharactersWithSpaces>
  <SharedDoc>false</SharedDoc>
  <HyperlinkBase/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ODEUM CodeJS App Components</dc:title>
  <dc:subject>Components definition and structure</dc:subject>
  <dc:creator>Christian Broberg</dc:creator>
  <cp:keywords>odeum, codejs, js, javascript, react, reactjs</cp:keywords>
  <dc:description/>
  <cp:lastModifiedBy>Christian Broberg</cp:lastModifiedBy>
  <cp:revision>159</cp:revision>
  <cp:lastPrinted>2016-10-21T10:54:00Z</cp:lastPrinted>
  <dcterms:created xsi:type="dcterms:W3CDTF">2017-03-20T15:08:00Z</dcterms:created>
  <dcterms:modified xsi:type="dcterms:W3CDTF">2017-04-06T11:11:00Z</dcterms:modified>
  <cp:category>Development</cp:category>
</cp:coreProperties>
</file>