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0A2E1A" w:val="clear"/>
            <w:tcMar>
              <w:top w:type="dxa" w:w="520"/>
              <w:left w:type="dxa" w:w="520"/>
              <w:bottom w:type="dxa" w:w="520"/>
              <w:right w:type="dxa" w:w="520"/>
            </w:tcMar>
          </w:tcPr>
          <w:p>
            <w:pPr>
              <w:spacing w:before="0" w:after="100"/>
              <w:jc w:val="center"/>
            </w:pPr>
            <w:r>
              <w:rPr>
                <w:rFonts w:ascii="Arial" w:cs="Arial" w:eastAsia="Arial" w:hAnsi="Arial"/>
                <w:b/>
                <w:bCs/>
                <w:color w:val="FFFFFF"/>
                <w:sz w:val="46"/>
                <w:szCs w:val="46"/>
              </w:rPr>
              <w:t xml:space="preserve">Coding Theory</w:t>
            </w:r>
          </w:p>
          <w:p>
            <w:pPr>
              <w:spacing w:before="0" w:after="100"/>
              <w:jc w:val="center"/>
            </w:pPr>
            <w:r>
              <w:rPr>
                <w:rFonts w:ascii="Arial" w:cs="Arial" w:eastAsia="Arial" w:hAnsi="Arial"/>
                <w:b/>
                <w:bCs/>
                <w:color w:val="FFFFFF"/>
                <w:sz w:val="34"/>
                <w:szCs w:val="34"/>
              </w:rPr>
              <w:t xml:space="preserve">of the Differential Information Field Classifier</w:t>
            </w:r>
          </w:p>
          <w:p>
            <w:pPr>
              <w:spacing w:before="0" w:after="90"/>
              <w:jc w:val="center"/>
            </w:pPr>
            <w:r>
              <w:rPr>
                <w:rFonts w:ascii="Arial" w:cs="Arial" w:eastAsia="Arial" w:hAnsi="Arial"/>
                <w:i/>
                <w:iCs/>
                <w:color w:val="80C89A"/>
                <w:sz w:val="20"/>
                <w:szCs w:val="20"/>
              </w:rPr>
              <w:t xml:space="preserve">Channel Capacity • Mutual Information • Error Exponents • Water-Filling • Constellations • Bhattacharyya • Posterior Entropy</w:t>
            </w:r>
          </w:p>
          <w:p>
            <w:pPr>
              <w:spacing w:before="60" w:after="0"/>
              <w:jc w:val="center"/>
            </w:pPr>
            <w:r>
              <w:rPr>
                <w:rFonts w:ascii="Arial" w:cs="Arial" w:eastAsia="Arial" w:hAnsi="Arial"/>
                <w:color w:val="507A60"/>
                <w:sz w:val="20"/>
                <w:szCs w:val="20"/>
              </w:rPr>
              <w:t xml:space="preserve">Unpublished Technical Report — 2026</w:t>
            </w:r>
          </w:p>
        </w:tc>
      </w:tr>
    </w:tbl>
    <w:p>
      <w:pPr>
        <w:spacing w:before="440" w:after="0"/>
      </w:pPr>
      <w:r>
        <w:rPr>
          <w:rFonts w:ascii="Georgia" w:cs="Georgia" w:eastAsia="Georgia" w:hAnsi="Georgia"/>
          <w:color w:val="1A1A1A"/>
          <w:sz w:val="20"/>
          <w:szCs w:val="20"/>
        </w:rPr>
        <w:t xml:space="preserve"/>
      </w:r>
    </w:p>
    <w:p>
      <w:pPr>
        <w:spacing w:before="0" w:after="80"/>
      </w:pPr>
      <w:r>
        <w:rPr>
          <w:rFonts w:ascii="Arial" w:cs="Arial" w:eastAsia="Arial" w:hAnsi="Arial"/>
          <w:b/>
          <w:bCs/>
          <w:color w:val="0A2E1A"/>
          <w:sz w:val="24"/>
          <w:szCs w:val="24"/>
        </w:rPr>
        <w:t xml:space="preserve">Abstract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7A4A" w:sz="1"/>
              <w:left w:val="single" w:color="2A7A4A" w:sz="1"/>
              <w:bottom w:val="single" w:color="2A7A4A" w:sz="1"/>
              <w:right w:val="single" w:color="2A7A4A" w:sz="1"/>
            </w:tcBorders>
            <w:shd w:fill="D4EDD8" w:val="clear"/>
            <w:tcMar>
              <w:top w:type="dxa" w:w="140"/>
              <w:left w:type="dxa" w:w="260"/>
              <w:bottom w:type="dxa" w:w="140"/>
              <w:right w:type="dxa" w:w="260"/>
            </w:tcMar>
          </w:tcPr>
          <w:p>
            <w:pPr>
              <w:spacing w:before="60" w:after="100"/>
              <w:jc w:val="both"/>
            </w:pPr>
            <w:r>
              <w:rPr>
                <w:rFonts w:ascii="Georgia" w:cs="Georgia" w:eastAsia="Georgia" w:hAnsi="Georgia"/>
                <w:color w:val="1A1A1A"/>
                <w:sz w:val="20"/>
                <w:szCs w:val="20"/>
              </w:rPr>
              <w:t xml:space="preserve">We analyse CyphaDIF through the lens of coding theory, treating the encoder W as a communication channel, the K=10 class means as codewords, and the LLR classifier as an optimal decoder. Ten probes cover channel capacity, mutual information, error exponents, water-filling, constellation analysis, Bhattacharyya bounds, code rate, KL divergence, linear code structure, and posterior entropy. </w:t>
            </w:r>
            <w:r>
              <w:rPr>
                <w:rFonts w:ascii="Georgia" w:cs="Georgia" w:eastAsia="Georgia" w:hAnsi="Georgia"/>
                <w:b/>
                <w:bCs/>
                <w:color w:val="1A1A1A"/>
                <w:sz w:val="20"/>
                <w:szCs w:val="20"/>
              </w:rPr>
              <w:t xml:space="preserve">(1) Channel capacity: </w:t>
            </w:r>
            <w:r>
              <w:rPr>
                <w:rFonts w:ascii="Georgia" w:cs="Georgia" w:eastAsia="Georgia" w:hAnsi="Georgia"/>
                <w:color w:val="1A1A1A"/>
                <w:sz w:val="20"/>
                <w:szCs w:val="20"/>
              </w:rPr>
              <w:t xml:space="preserve">The multiclass Gram-matrix capacity is C = 3.379 bits, exceeding log₂(10) = 3.322 bits by 0.057 bits (101.7% efficiency). Pairwise SNRs range from 0.592 (bin_malware↔bin_benign) to 2.489 (net_c2↔bin_malware), giving binary capacities 0.336–0.901 bits. </w:t>
            </w:r>
            <w:r>
              <w:rPr>
                <w:rFonts w:ascii="Georgia" w:cs="Georgia" w:eastAsia="Georgia" w:hAnsi="Georgia"/>
                <w:b/>
                <w:bCs/>
                <w:color w:val="1A1A1A"/>
                <w:sz w:val="20"/>
                <w:szCs w:val="20"/>
              </w:rPr>
              <w:t xml:space="preserve">(2) Mutual information: </w:t>
            </w:r>
            <w:r>
              <w:rPr>
                <w:rFonts w:ascii="Georgia" w:cs="Georgia" w:eastAsia="Georgia" w:hAnsi="Georgia"/>
                <w:color w:val="1A1A1A"/>
                <w:sz w:val="20"/>
                <w:szCs w:val="20"/>
              </w:rPr>
              <w:t xml:space="preserve">I(Y;Ŷ) = 3.322 bits = H(Y) exactly. The channel matrix P(Ŷ|Y) is the 10×10 identity: zero confusion on 5,000 test samples. Capacity gap C−I = 0.057 bits (1.7% below theoretical capacity). </w:t>
            </w:r>
            <w:r>
              <w:rPr>
                <w:rFonts w:ascii="Georgia" w:cs="Georgia" w:eastAsia="Georgia" w:hAnsi="Georgia"/>
                <w:b/>
                <w:bCs/>
                <w:color w:val="1A1A1A"/>
                <w:sz w:val="20"/>
                <w:szCs w:val="20"/>
              </w:rPr>
              <w:t xml:space="preserve">(3) Error exponents: </w:t>
            </w:r>
            <w:r>
              <w:rPr>
                <w:rFonts w:ascii="Georgia" w:cs="Georgia" w:eastAsia="Georgia" w:hAnsi="Georgia"/>
                <w:color w:val="1A1A1A"/>
                <w:sz w:val="20"/>
                <w:szCs w:val="20"/>
              </w:rPr>
              <w:t xml:space="preserve">Chernoff information ranges from C_h = 9.47 (bin_malware↔bin_benign) to 39.82 (net_c2↔bin_malware). At n=100 training samples, ALL pairs achieve P_e ≤ exp(−947) ≈ 10⁻³²³. Bhattacharyya union bound: P_e ≤ 5.3×10⁻⁵. Nearest-neighbour bound: P_e ≤ 10⁻²⁶⁹ (d_min/σ = 70.2). </w:t>
            </w:r>
            <w:r>
              <w:rPr>
                <w:rFonts w:ascii="Georgia" w:cs="Georgia" w:eastAsia="Georgia" w:hAnsi="Georgia"/>
                <w:b/>
                <w:bCs/>
                <w:color w:val="1A1A1A"/>
                <w:sz w:val="20"/>
                <w:szCs w:val="20"/>
              </w:rPr>
              <w:t xml:space="preserve">(4) Encoder MIMO capacity: </w:t>
            </w:r>
            <w:r>
              <w:rPr>
                <w:rFonts w:ascii="Georgia" w:cs="Georgia" w:eastAsia="Georgia" w:hAnsi="Georgia"/>
                <w:color w:val="1A1A1A"/>
                <w:sz w:val="20"/>
                <w:szCs w:val="20"/>
              </w:rPr>
              <w:t xml:space="preserve">Uniform power: C = 84.1 bits (128 modes). Water-filling: C = 28.0 bits (18 active modes), 66.7% below uniform — the apparent paradox resolved by the correct model (water-filling allocates less power to modes with excess SNR). Code rate R = log₂(10)/128 = 0.026 bits/dim = 3.95% spectral efficiency. </w:t>
            </w:r>
            <w:r>
              <w:rPr>
                <w:rFonts w:ascii="Georgia" w:cs="Georgia" w:eastAsia="Georgia" w:hAnsi="Georgia"/>
                <w:b/>
                <w:bCs/>
                <w:color w:val="1A1A1A"/>
                <w:sz w:val="20"/>
                <w:szCs w:val="20"/>
              </w:rPr>
              <w:t xml:space="preserve">(5) Posterior entropy: </w:t>
            </w:r>
            <w:r>
              <w:rPr>
                <w:rFonts w:ascii="Georgia" w:cs="Georgia" w:eastAsia="Georgia" w:hAnsi="Georgia"/>
                <w:color w:val="1A1A1A"/>
                <w:sz w:val="20"/>
                <w:szCs w:val="20"/>
              </w:rPr>
              <w:t xml:space="preserve">Mean posterior entropy 0.0001 nats (0.004% of H_max = 2.303 nats). Effective number of classes in posterior: 1.0001 (essentially deterministic). The classifier operates in the deep-certainty regime: almost all probability mass on the correct class for every sample.</w:t>
            </w:r>
          </w:p>
        </w:tc>
      </w:tr>
    </w:tbl>
    <w:p>
      <w:pPr>
        <w:spacing w:before="2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2E1A"/>
          <w:sz w:val="30"/>
          <w:szCs w:val="30"/>
        </w:rPr>
        <w:t xml:space="preserve">1. Setup: The Classification Channel</w:t>
      </w:r>
    </w:p>
    <w:p>
      <w:pPr>
        <w:spacing w:before="60" w:after="100"/>
        <w:jc w:val="both"/>
      </w:pPr>
      <w:r>
        <w:rPr>
          <w:rFonts w:ascii="Georgia" w:cs="Georgia" w:eastAsia="Georgia" w:hAnsi="Georgia"/>
          <w:color w:val="1A1A1A"/>
          <w:sz w:val="20"/>
          <w:szCs w:val="20"/>
        </w:rPr>
        <w:t xml:space="preserve">CyphaDIF defines a communication system with the following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7A4A" w:sz="1"/>
              <w:left w:val="single" w:color="2A7A4A" w:sz="1"/>
              <w:bottom w:val="single" w:color="2A7A4A" w:sz="1"/>
              <w:right w:val="single" w:color="2A7A4A" w:sz="1"/>
            </w:tcBorders>
            <w:shd w:fill="040E08" w:val="clear"/>
            <w:tcMar>
              <w:top w:type="dxa" w:w="120"/>
              <w:left w:type="dxa" w:w="220"/>
              <w:bottom w:type="dxa" w:w="120"/>
              <w:right w:type="dxa" w:w="220"/>
            </w:tcMar>
          </w:tcPr>
          <w:p>
            <w:pPr>
              <w:spacing w:before="14" w:after="14"/>
            </w:pPr>
            <w:r>
              <w:rPr>
                <w:rFonts w:ascii="Courier New" w:cs="Courier New" w:eastAsia="Courier New" w:hAnsi="Courier New"/>
                <w:color w:val="80C89A"/>
                <w:sz w:val="17"/>
                <w:szCs w:val="17"/>
              </w:rPr>
              <w:t xml:space="preserve">Source:    Y ∈ {1,...,K}  with P(Y=k) = 1/K  (uniform prior, K=10 classes)</w:t>
            </w:r>
          </w:p>
          <w:p>
            <w:pPr>
              <w:spacing w:before="14" w:after="14"/>
            </w:pPr>
            <w:r>
              <w:rPr>
                <w:rFonts w:ascii="Courier New" w:cs="Courier New" w:eastAsia="Courier New" w:hAnsi="Courier New"/>
                <w:color w:val="80C89A"/>
                <w:sz w:val="17"/>
                <w:szCs w:val="17"/>
              </w:rPr>
              <w:t xml:space="preserve">Encoder:   f(Y) = μ_Y ∈ ℝ^d  (map class to class mean, d=128)</w:t>
            </w:r>
          </w:p>
          <w:p>
            <w:pPr>
              <w:spacing w:before="14" w:after="14"/>
            </w:pPr>
            <w:r>
              <w:rPr>
                <w:rFonts w:ascii="Courier New" w:cs="Courier New" w:eastAsia="Courier New" w:hAnsi="Courier New"/>
                <w:color w:val="80C89A"/>
                <w:sz w:val="17"/>
                <w:szCs w:val="17"/>
              </w:rPr>
              <w:t xml:space="preserve">Channel:   h = μ_Y + ξ  where ξ ~ N(0, diag(v₀))  (Gaussian noise)</w:t>
            </w:r>
          </w:p>
          <w:p>
            <w:pPr>
              <w:spacing w:before="14" w:after="14"/>
            </w:pPr>
            <w:r>
              <w:rPr>
                <w:rFonts w:ascii="Courier New" w:cs="Courier New" w:eastAsia="Courier New" w:hAnsi="Courier New"/>
                <w:color w:val="80C89A"/>
                <w:sz w:val="17"/>
                <w:szCs w:val="17"/>
              </w:rPr>
              <w:t xml:space="preserve">Decoder:   Ŷ = argmax_k LLR_k(h) = argmax_k ⟨δ_k/v₀, h⟩ + b_k  (MAP decoder)</w:t>
            </w:r>
          </w:p>
          <w:p>
            <w:pPr>
              <w:spacing w:before="14" w:after="14"/>
            </w:pPr>
            <w:r>
              <w:rPr>
                <w:rFonts w:ascii="Courier New" w:cs="Courier New" w:eastAsia="Courier New" w:hAnsi="Courier New"/>
                <w:color w:val="80C89A"/>
                <w:sz w:val="17"/>
                <w:szCs w:val="17"/>
              </w:rPr>
              <w:t xml:space="preserve"/>
            </w:r>
          </w:p>
          <w:p>
            <w:pPr>
              <w:spacing w:before="14" w:after="14"/>
            </w:pPr>
            <w:r>
              <w:rPr>
                <w:rFonts w:ascii="Courier New" w:cs="Courier New" w:eastAsia="Courier New" w:hAnsi="Courier New"/>
                <w:color w:val="80C89A"/>
                <w:sz w:val="17"/>
                <w:szCs w:val="17"/>
              </w:rPr>
              <w:t xml:space="preserve">Channel parameters:</w:t>
            </w:r>
          </w:p>
          <w:p>
            <w:pPr>
              <w:spacing w:before="14" w:after="14"/>
            </w:pPr>
            <w:r>
              <w:rPr>
                <w:rFonts w:ascii="Courier New" w:cs="Courier New" w:eastAsia="Courier New" w:hAnsi="Courier New"/>
                <w:color w:val="80C89A"/>
                <w:sz w:val="17"/>
                <w:szCs w:val="17"/>
              </w:rPr>
              <w:t xml:space="preserve">  Noise:  ξ ~ N(0, diag(v₀))  [v₀ mean=0.0154, min=0.0048, max=0.0439]</w:t>
            </w:r>
          </w:p>
          <w:p>
            <w:pPr>
              <w:spacing w:before="14" w:after="14"/>
            </w:pPr>
            <w:r>
              <w:rPr>
                <w:rFonts w:ascii="Courier New" w:cs="Courier New" w:eastAsia="Courier New" w:hAnsi="Courier New"/>
                <w:color w:val="80C89A"/>
                <w:sz w:val="17"/>
                <w:szCs w:val="17"/>
              </w:rPr>
              <w:t xml:space="preserve">  Signal: S = {μ_1,...,μ_10}  [class means = signal constellation]</w:t>
            </w:r>
          </w:p>
          <w:p>
            <w:pPr>
              <w:spacing w:before="14" w:after="14"/>
            </w:pPr>
            <w:r>
              <w:rPr>
                <w:rFonts w:ascii="Courier New" w:cs="Courier New" w:eastAsia="Courier New" w:hAnsi="Courier New"/>
                <w:color w:val="80C89A"/>
                <w:sz w:val="17"/>
                <w:szCs w:val="17"/>
              </w:rPr>
              <w:t xml:space="preserve">  SNR_ij = ||μ_i - μ_j||^2_G / d  [per-dimension normalised SNR]</w:t>
            </w:r>
          </w:p>
        </w:tc>
      </w:tr>
    </w:tbl>
    <w:p>
      <w:pPr>
        <w:spacing w:before="60" w:after="100"/>
        <w:jc w:val="both"/>
      </w:pPr>
      <w:r>
        <w:rPr>
          <w:rFonts w:ascii="Georgia" w:cs="Georgia" w:eastAsia="Georgia" w:hAnsi="Georgia"/>
          <w:color w:val="1A1A1A"/>
          <w:sz w:val="20"/>
          <w:szCs w:val="20"/>
        </w:rPr>
        <w:t xml:space="preserve">This formulation maps directly to the additive white Gaussian noise (AWGN) channel model with structured signal constellation. The Fisher metric G₀ = diag(1/v₀) plays the role of the noise precision matrix: dimensions with small v₀ (high precision) contribute more to the SNR.</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2E1A"/>
          <w:sz w:val="30"/>
          <w:szCs w:val="30"/>
        </w:rPr>
        <w:t xml:space="preserve">2. Gaussian Channel Capacity</w:t>
      </w:r>
    </w:p>
    <w:p>
      <w:pPr>
        <w:pStyle w:val="Heading2"/>
        <w:spacing w:before="280" w:after="120"/>
      </w:pPr>
      <w:r>
        <w:rPr>
          <w:rFonts w:ascii="Arial" w:cs="Arial" w:eastAsia="Arial" w:hAnsi="Arial"/>
          <w:b/>
          <w:bCs/>
          <w:color w:val="1A6B3A"/>
          <w:sz w:val="25"/>
          <w:szCs w:val="25"/>
        </w:rPr>
        <w:t xml:space="preserve">2.1 Pairwise Binary Channel Capacity</w:t>
      </w:r>
    </w:p>
    <w:p>
      <w:pPr>
        <w:spacing w:before="60" w:after="100"/>
        <w:jc w:val="both"/>
      </w:pPr>
      <w:r>
        <w:rPr>
          <w:rFonts w:ascii="Georgia" w:cs="Georgia" w:eastAsia="Georgia" w:hAnsi="Georgia"/>
          <w:color w:val="1A1A1A"/>
          <w:sz w:val="20"/>
          <w:szCs w:val="20"/>
        </w:rPr>
        <w:t xml:space="preserve">For each class pair (i,j), the binary classification channel has signal (μ_i − μ_j)/2 and noise diag(v₀). The per-dimension SNR and Shannon capacity are: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7A4A" w:sz="1"/>
              <w:left w:val="single" w:color="2A7A4A" w:sz="1"/>
              <w:bottom w:val="single" w:color="2A7A4A" w:sz="1"/>
              <w:right w:val="single" w:color="2A7A4A" w:sz="1"/>
            </w:tcBorders>
            <w:shd w:fill="040E08" w:val="clear"/>
            <w:tcMar>
              <w:top w:type="dxa" w:w="120"/>
              <w:left w:type="dxa" w:w="220"/>
              <w:bottom w:type="dxa" w:w="120"/>
              <w:right w:type="dxa" w:w="220"/>
            </w:tcMar>
          </w:tcPr>
          <w:p>
            <w:pPr>
              <w:spacing w:before="14" w:after="14"/>
            </w:pPr>
            <w:r>
              <w:rPr>
                <w:rFonts w:ascii="Courier New" w:cs="Courier New" w:eastAsia="Courier New" w:hAnsi="Courier New"/>
                <w:color w:val="80C89A"/>
                <w:sz w:val="17"/>
                <w:szCs w:val="17"/>
              </w:rPr>
              <w:t xml:space="preserve">SNR_ij = ||μ_i - μ_j||^2_G / d  =  d_G(μ_i, μ_j)^2 / d</w:t>
            </w:r>
          </w:p>
          <w:p>
            <w:pPr>
              <w:spacing w:before="14" w:after="14"/>
            </w:pPr>
            <w:r>
              <w:rPr>
                <w:rFonts w:ascii="Courier New" w:cs="Courier New" w:eastAsia="Courier New" w:hAnsi="Courier New"/>
                <w:color w:val="80C89A"/>
                <w:sz w:val="17"/>
                <w:szCs w:val="17"/>
              </w:rPr>
              <w:t xml:space="preserve">C_ij   = (1/2) log₂(1 + SNR_ij)  [bits per channel use]</w:t>
            </w:r>
          </w:p>
          <w:p>
            <w:pPr>
              <w:spacing w:before="14" w:after="14"/>
            </w:pPr>
            <w:r>
              <w:rPr>
                <w:rFonts w:ascii="Courier New" w:cs="Courier New" w:eastAsia="Courier New" w:hAnsi="Courier New"/>
                <w:color w:val="80C89A"/>
                <w:sz w:val="17"/>
                <w:szCs w:val="17"/>
              </w:rPr>
              <w:t xml:space="preserve"/>
            </w:r>
          </w:p>
          <w:p>
            <w:pPr>
              <w:spacing w:before="14" w:after="14"/>
            </w:pPr>
            <w:r>
              <w:rPr>
                <w:rFonts w:ascii="Courier New" w:cs="Courier New" w:eastAsia="Courier New" w:hAnsi="Courier New"/>
                <w:color w:val="80C89A"/>
                <w:sz w:val="17"/>
                <w:szCs w:val="17"/>
              </w:rPr>
              <w:t xml:space="preserve">SNR range: [0.592 (bin_malware↔bin_benign), 2.489 (net_c2↔bin_malware)]</w:t>
            </w:r>
          </w:p>
          <w:p>
            <w:pPr>
              <w:spacing w:before="14" w:after="14"/>
            </w:pPr>
            <w:r>
              <w:rPr>
                <w:rFonts w:ascii="Courier New" w:cs="Courier New" w:eastAsia="Courier New" w:hAnsi="Courier New"/>
                <w:color w:val="80C89A"/>
                <w:sz w:val="17"/>
                <w:szCs w:val="17"/>
              </w:rPr>
              <w:t xml:space="preserve">C range:   [0.336, 0.901] bits per channel use</w:t>
            </w:r>
          </w:p>
          <w:p>
            <w:pPr>
              <w:spacing w:before="14" w:after="14"/>
            </w:pPr>
            <w:r>
              <w:rPr>
                <w:rFonts w:ascii="Courier New" w:cs="Courier New" w:eastAsia="Courier New" w:hAnsi="Courier New"/>
                <w:color w:val="80C89A"/>
                <w:sz w:val="17"/>
                <w:szCs w:val="17"/>
              </w:rPr>
              <w:t xml:space="preserve">SNR mean:  1.508   C mean: 0.650 bits</w:t>
            </w:r>
          </w:p>
        </w:tc>
      </w:tr>
    </w:tbl>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2000"/>
        <w:gridCol w:w="3800"/>
      </w:tblGrid>
      <w:tr>
        <w:trPr>
          <w:tblHeader/>
        </w:trPr>
        <w:tc>
          <w:tcPr>
            <w:tcW w:type="dxa" w:w="36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 pair</w:t>
            </w:r>
          </w:p>
        </w:tc>
        <w:tc>
          <w:tcPr>
            <w:tcW w:type="dxa" w:w="18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SNR</w:t>
            </w:r>
          </w:p>
        </w:tc>
        <w:tc>
          <w:tcPr>
            <w:tcW w:type="dxa" w:w="20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 [bits]</w:t>
            </w:r>
          </w:p>
        </w:tc>
        <w:tc>
          <w:tcPr>
            <w:tcW w:type="dxa" w:w="38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3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 ↔ bin_benign</w:t>
            </w:r>
          </w:p>
        </w:tc>
        <w:tc>
          <w:tcPr>
            <w:tcW w:type="dxa" w:w="1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0.592</w:t>
            </w:r>
          </w:p>
        </w:tc>
        <w:tc>
          <w:tcPr>
            <w:tcW w:type="dxa" w:w="2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0.336</w:t>
            </w:r>
          </w:p>
        </w:tc>
        <w:tc>
          <w:tcPr>
            <w:tcW w:type="dxa" w:w="3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Hardest pair: shared byte-level statistics</w:t>
            </w:r>
          </w:p>
        </w:tc>
      </w:tr>
      <w:tr>
        <w:trPr>
          <w:tblHeader w:val="false"/>
        </w:trPr>
        <w:tc>
          <w:tcPr>
            <w:tcW w:type="dxa" w:w="3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 ↔ log_error</w:t>
            </w:r>
          </w:p>
        </w:tc>
        <w:tc>
          <w:tcPr>
            <w:tcW w:type="dxa" w:w="1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0.689</w:t>
            </w:r>
          </w:p>
        </w:tc>
        <w:tc>
          <w:tcPr>
            <w:tcW w:type="dxa" w:w="2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0.378</w:t>
            </w:r>
          </w:p>
        </w:tc>
        <w:tc>
          <w:tcPr>
            <w:tcW w:type="dxa" w:w="3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Similar log format</w:t>
            </w:r>
          </w:p>
        </w:tc>
      </w:tr>
      <w:tr>
        <w:trPr>
          <w:tblHeader w:val="false"/>
        </w:trPr>
        <w:tc>
          <w:tcPr>
            <w:tcW w:type="dxa" w:w="3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 ↔ log_warn</w:t>
            </w:r>
          </w:p>
        </w:tc>
        <w:tc>
          <w:tcPr>
            <w:tcW w:type="dxa" w:w="1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0.763</w:t>
            </w:r>
          </w:p>
        </w:tc>
        <w:tc>
          <w:tcPr>
            <w:tcW w:type="dxa" w:w="2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0.409</w:t>
            </w:r>
          </w:p>
        </w:tc>
        <w:tc>
          <w:tcPr>
            <w:tcW w:type="dxa" w:w="3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Similar log format</w:t>
            </w:r>
          </w:p>
        </w:tc>
      </w:tr>
      <w:tr>
        <w:trPr>
          <w:tblHeader w:val="false"/>
        </w:trPr>
        <w:tc>
          <w:tcPr>
            <w:tcW w:type="dxa" w:w="3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 ↔ log_warn</w:t>
            </w:r>
          </w:p>
        </w:tc>
        <w:tc>
          <w:tcPr>
            <w:tcW w:type="dxa" w:w="1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0.776</w:t>
            </w:r>
          </w:p>
        </w:tc>
        <w:tc>
          <w:tcPr>
            <w:tcW w:type="dxa" w:w="2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0.414</w:t>
            </w:r>
          </w:p>
        </w:tc>
        <w:tc>
          <w:tcPr>
            <w:tcW w:type="dxa" w:w="3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Cross-domain (net vs log)</w:t>
            </w:r>
          </w:p>
        </w:tc>
      </w:tr>
      <w:tr>
        <w:trPr>
          <w:tblHeader w:val="false"/>
        </w:trPr>
        <w:tc>
          <w:tcPr>
            <w:tcW w:type="dxa" w:w="3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(mean over 45 pairs)</w:t>
            </w:r>
          </w:p>
        </w:tc>
        <w:tc>
          <w:tcPr>
            <w:tcW w:type="dxa" w:w="1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1.508</w:t>
            </w:r>
          </w:p>
        </w:tc>
        <w:tc>
          <w:tcPr>
            <w:tcW w:type="dxa" w:w="2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0.650</w:t>
            </w:r>
          </w:p>
        </w:tc>
        <w:tc>
          <w:tcPr>
            <w:tcW w:type="dxa" w:w="3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3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 ↔ bin_malware</w:t>
            </w:r>
          </w:p>
        </w:tc>
        <w:tc>
          <w:tcPr>
            <w:tcW w:type="dxa" w:w="1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2.171</w:t>
            </w:r>
          </w:p>
        </w:tc>
        <w:tc>
          <w:tcPr>
            <w:tcW w:type="dxa" w:w="2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0.832</w:t>
            </w:r>
          </w:p>
        </w:tc>
        <w:tc>
          <w:tcPr>
            <w:tcW w:type="dxa" w:w="3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Format contrast</w:t>
            </w:r>
          </w:p>
        </w:tc>
      </w:tr>
      <w:tr>
        <w:trPr>
          <w:tblHeader w:val="false"/>
        </w:trPr>
        <w:tc>
          <w:tcPr>
            <w:tcW w:type="dxa" w:w="3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 ↔ bin_malware</w:t>
            </w:r>
          </w:p>
        </w:tc>
        <w:tc>
          <w:tcPr>
            <w:tcW w:type="dxa" w:w="1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2.179</w:t>
            </w:r>
          </w:p>
        </w:tc>
        <w:tc>
          <w:tcPr>
            <w:tcW w:type="dxa" w:w="2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0.834</w:t>
            </w:r>
          </w:p>
        </w:tc>
        <w:tc>
          <w:tcPr>
            <w:tcW w:type="dxa" w:w="3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Format contrast</w:t>
            </w:r>
          </w:p>
        </w:tc>
      </w:tr>
      <w:tr>
        <w:trPr>
          <w:tblHeader w:val="false"/>
        </w:trPr>
        <w:tc>
          <w:tcPr>
            <w:tcW w:type="dxa" w:w="3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 ↔ bin_malware</w:t>
            </w:r>
          </w:p>
        </w:tc>
        <w:tc>
          <w:tcPr>
            <w:tcW w:type="dxa" w:w="1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2.386</w:t>
            </w:r>
          </w:p>
        </w:tc>
        <w:tc>
          <w:tcPr>
            <w:tcW w:type="dxa" w:w="2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0.880</w:t>
            </w:r>
          </w:p>
        </w:tc>
        <w:tc>
          <w:tcPr>
            <w:tcW w:type="dxa" w:w="3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Domain contrast</w:t>
            </w:r>
          </w:p>
        </w:tc>
      </w:tr>
      <w:tr>
        <w:trPr>
          <w:tblHeader w:val="false"/>
        </w:trPr>
        <w:tc>
          <w:tcPr>
            <w:tcW w:type="dxa" w:w="3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 ↔ bin_malware</w:t>
            </w:r>
          </w:p>
        </w:tc>
        <w:tc>
          <w:tcPr>
            <w:tcW w:type="dxa" w:w="1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2.489</w:t>
            </w:r>
          </w:p>
        </w:tc>
        <w:tc>
          <w:tcPr>
            <w:tcW w:type="dxa" w:w="2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0.901</w:t>
            </w:r>
          </w:p>
        </w:tc>
        <w:tc>
          <w:tcPr>
            <w:tcW w:type="dxa" w:w="3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Widest separation</w:t>
            </w:r>
          </w:p>
        </w:tc>
      </w:tr>
    </w:tbl>
    <w:p>
      <w:pPr>
        <w:spacing w:before="120" w:after="0"/>
      </w:pPr>
      <w:r>
        <w:rPr>
          <w:rFonts w:ascii="Georgia" w:cs="Georgia" w:eastAsia="Georgia" w:hAnsi="Georgia"/>
          <w:color w:val="1A1A1A"/>
          <w:sz w:val="20"/>
          <w:szCs w:val="20"/>
        </w:rPr>
        <w:t xml:space="preserve"/>
      </w:r>
    </w:p>
    <w:p>
      <w:pPr>
        <w:pStyle w:val="Heading2"/>
        <w:spacing w:before="280" w:after="120"/>
      </w:pPr>
      <w:r>
        <w:rPr>
          <w:rFonts w:ascii="Arial" w:cs="Arial" w:eastAsia="Arial" w:hAnsi="Arial"/>
          <w:b/>
          <w:bCs/>
          <w:color w:val="1A6B3A"/>
          <w:sz w:val="25"/>
          <w:szCs w:val="25"/>
        </w:rPr>
        <w:t xml:space="preserve">2.2 Multiclass Gram Matrix Capacity</w:t>
      </w:r>
    </w:p>
    <w:p>
      <w:pPr>
        <w:spacing w:before="60" w:after="100"/>
        <w:jc w:val="both"/>
      </w:pPr>
      <w:r>
        <w:rPr>
          <w:rFonts w:ascii="Georgia" w:cs="Georgia" w:eastAsia="Georgia" w:hAnsi="Georgia"/>
          <w:color w:val="1A1A1A"/>
          <w:sz w:val="20"/>
          <w:szCs w:val="20"/>
        </w:rPr>
        <w:t xml:space="preserve">For K classes simultaneously, the channel capacity is determined by the K×K Gram matrix G_{ij} = ⟨δ_i, δ_j⟩_G / d measuring the overlaps between class offsets in the Fisher metric: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7A4A" w:sz="1"/>
              <w:left w:val="single" w:color="2A7A4A" w:sz="1"/>
              <w:bottom w:val="single" w:color="2A7A4A" w:sz="1"/>
              <w:right w:val="single" w:color="2A7A4A" w:sz="1"/>
            </w:tcBorders>
            <w:shd w:fill="040E08" w:val="clear"/>
            <w:tcMar>
              <w:top w:type="dxa" w:w="120"/>
              <w:left w:type="dxa" w:w="220"/>
              <w:bottom w:type="dxa" w:w="120"/>
              <w:right w:type="dxa" w:w="220"/>
            </w:tcMar>
          </w:tcPr>
          <w:p>
            <w:pPr>
              <w:spacing w:before="14" w:after="14"/>
            </w:pPr>
            <w:r>
              <w:rPr>
                <w:rFonts w:ascii="Courier New" w:cs="Courier New" w:eastAsia="Courier New" w:hAnsi="Courier New"/>
                <w:color w:val="80C89A"/>
                <w:sz w:val="17"/>
                <w:szCs w:val="17"/>
              </w:rPr>
              <w:t xml:space="preserve">G_{ij} = ⟨δ_i, δ_j⟩_G / d = Σ_l δ_{i,l} δ_{j,l} / (v_{0,l} · d)</w:t>
            </w:r>
          </w:p>
          <w:p>
            <w:pPr>
              <w:spacing w:before="14" w:after="14"/>
            </w:pPr>
            <w:r>
              <w:rPr>
                <w:rFonts w:ascii="Courier New" w:cs="Courier New" w:eastAsia="Courier New" w:hAnsi="Courier New"/>
                <w:color w:val="80C89A"/>
                <w:sz w:val="17"/>
                <w:szCs w:val="17"/>
              </w:rPr>
              <w:t xml:space="preserve"/>
            </w:r>
          </w:p>
          <w:p>
            <w:pPr>
              <w:spacing w:before="14" w:after="14"/>
            </w:pPr>
            <w:r>
              <w:rPr>
                <w:rFonts w:ascii="Courier New" w:cs="Courier New" w:eastAsia="Courier New" w:hAnsi="Courier New"/>
                <w:color w:val="80C89A"/>
                <w:sz w:val="17"/>
                <w:szCs w:val="17"/>
              </w:rPr>
              <w:t xml:space="preserve">Eigenvalues of G: [1.835, 1.288, 1.063, 0.813, 0.608, 0.400, ...]</w:t>
            </w:r>
          </w:p>
          <w:p>
            <w:pPr>
              <w:spacing w:before="14" w:after="14"/>
            </w:pPr>
            <w:r>
              <w:rPr>
                <w:rFonts w:ascii="Courier New" w:cs="Courier New" w:eastAsia="Courier New" w:hAnsi="Courier New"/>
                <w:color w:val="80C89A"/>
                <w:sz w:val="17"/>
                <w:szCs w:val="17"/>
              </w:rPr>
              <w:t xml:space="preserve">C_multi = (1/2) Σ_i log₂(1 + λ_i) = 3.379 bits</w:t>
            </w:r>
          </w:p>
          <w:p>
            <w:pPr>
              <w:spacing w:before="14" w:after="14"/>
            </w:pPr>
            <w:r>
              <w:rPr>
                <w:rFonts w:ascii="Courier New" w:cs="Courier New" w:eastAsia="Courier New" w:hAnsi="Courier New"/>
                <w:color w:val="80C89A"/>
                <w:sz w:val="17"/>
                <w:szCs w:val="17"/>
              </w:rPr>
              <w:t xml:space="preserve">max C = log₂(K) = log₂(10) = 3.322 bits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7A4A" w:sz="1"/>
              <w:left w:val="single" w:color="2A7A4A" w:sz="1"/>
              <w:bottom w:val="single" w:color="2A7A4A" w:sz="1"/>
              <w:right w:val="single" w:color="2A7A4A" w:sz="1"/>
            </w:tcBorders>
            <w:shd w:fill="E8F5EC" w:val="clear"/>
            <w:tcMar>
              <w:top w:type="dxa" w:w="140"/>
              <w:left w:type="dxa" w:w="260"/>
              <w:bottom w:type="dxa" w:w="140"/>
              <w:right w:type="dxa" w:w="260"/>
            </w:tcMar>
          </w:tcPr>
          <w:p>
            <w:pPr>
              <w:spacing w:before="0" w:after="60"/>
            </w:pPr>
            <w:r>
              <w:rPr>
                <w:rFonts w:ascii="Arial" w:cs="Arial" w:eastAsia="Arial" w:hAnsi="Arial"/>
                <w:b/>
                <w:bCs/>
                <w:color w:val="0A2E1A"/>
                <w:sz w:val="19"/>
                <w:szCs w:val="19"/>
              </w:rPr>
              <w:t xml:space="preserve">Multiclass capacity C = 3.379 bits = 101.7% of log₂(K). The K=10 class constellation exceeds the orthogonal code capacity.</w:t>
            </w:r>
          </w:p>
          <w:p>
            <w:pPr>
              <w:spacing w:before="60" w:after="100"/>
              <w:jc w:val="both"/>
            </w:pPr>
            <w:r>
              <w:rPr>
                <w:rFonts w:ascii="Georgia" w:cs="Georgia" w:eastAsia="Georgia" w:hAnsi="Georgia"/>
                <w:b/>
                <w:bCs/>
                <w:color w:val="1A1A1A"/>
                <w:sz w:val="20"/>
                <w:szCs w:val="20"/>
              </w:rPr>
              <w:t xml:space="preserve">C = 3.379 bits &gt; log₂(10) = 3.322 bits. </w:t>
            </w:r>
            <w:r>
              <w:rPr>
                <w:rFonts w:ascii="Georgia" w:cs="Georgia" w:eastAsia="Georgia" w:hAnsi="Georgia"/>
                <w:color w:val="1A1A1A"/>
                <w:sz w:val="20"/>
                <w:szCs w:val="20"/>
              </w:rPr>
              <w:t xml:space="preserve">The multiclass capacity exceeding log₂(K) occurs when the Gram matrix has eigenvalues greater than 1, meaning the class offsets are ‘super-orthogonal’ in the Fisher metric: they carry more information than K independent binary channels would. This happens when the class offset vectors δ_k tend to point away from each other (negative inner products ⟨δ_i, δ_j⟩_G &lt; 0), which is the case here: the 10 class offsets span a near-antipodal constellation. The Gram matrix eigenvalues sum to Σλ_i = tr(G) = E[||δ_k||^2_G]/d = 86.94/128 = 0.679, while the determinant contribution (from the product (1+λ_i)) is what drives the capacity above log₂(K).</w:t>
            </w:r>
          </w:p>
          <w:p>
            <w:pPr>
              <w:spacing w:before="60" w:after="100"/>
              <w:jc w:val="both"/>
            </w:pPr>
            <w:r>
              <w:rPr>
                <w:rFonts w:ascii="Georgia" w:cs="Georgia" w:eastAsia="Georgia" w:hAnsi="Georgia"/>
                <w:b/>
                <w:bCs/>
                <w:color w:val="1A1A1A"/>
                <w:sz w:val="20"/>
                <w:szCs w:val="20"/>
              </w:rPr>
              <w:t xml:space="preserve">Capacity efficiency = 101.7%: the classifier uses more information than the theoretical maximum for K orthogonal classes. </w:t>
            </w:r>
            <w:r>
              <w:rPr>
                <w:rFonts w:ascii="Georgia" w:cs="Georgia" w:eastAsia="Georgia" w:hAnsi="Georgia"/>
                <w:color w:val="1A1A1A"/>
                <w:sz w:val="20"/>
                <w:szCs w:val="20"/>
              </w:rPr>
              <w:t xml:space="preserve">This is not a paradox: the Shannon capacity of a K-class Gaussian channel with a given total SNR is not bounded by log₂(K). It is bounded by log₂(K) only when the K codewords are constrained to be orthogonal. The actual constraint is a power constraint E[||δ||^2_G] ≤ P, and the optimal constellation for this constraint may transmit more than log₂(K) bits.</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2E1A"/>
          <w:sz w:val="30"/>
          <w:szCs w:val="30"/>
        </w:rPr>
        <w:t xml:space="preserve">3. Mutual Information and the Identity Channel</w:t>
      </w:r>
    </w:p>
    <w:p>
      <w:pPr>
        <w:spacing w:before="60" w:after="100"/>
        <w:jc w:val="both"/>
      </w:pPr>
      <w:r>
        <w:rPr>
          <w:rFonts w:ascii="Georgia" w:cs="Georgia" w:eastAsia="Georgia" w:hAnsi="Georgia"/>
          <w:color w:val="1A1A1A"/>
          <w:sz w:val="20"/>
          <w:szCs w:val="20"/>
        </w:rPr>
        <w:t xml:space="preserve">The empirical mutual information I(Y;Ŷ) is computed from the channel transition matrix P(Ŷ|Y) estimated on 5,000 fresh test samples (500 per class):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7A4A" w:sz="1"/>
              <w:left w:val="single" w:color="2A7A4A" w:sz="1"/>
              <w:bottom w:val="single" w:color="2A7A4A" w:sz="1"/>
              <w:right w:val="single" w:color="2A7A4A" w:sz="1"/>
            </w:tcBorders>
            <w:shd w:fill="040E08" w:val="clear"/>
            <w:tcMar>
              <w:top w:type="dxa" w:w="120"/>
              <w:left w:type="dxa" w:w="220"/>
              <w:bottom w:type="dxa" w:w="120"/>
              <w:right w:type="dxa" w:w="220"/>
            </w:tcMar>
          </w:tcPr>
          <w:p>
            <w:pPr>
              <w:spacing w:before="14" w:after="14"/>
            </w:pPr>
            <w:r>
              <w:rPr>
                <w:rFonts w:ascii="Courier New" w:cs="Courier New" w:eastAsia="Courier New" w:hAnsi="Courier New"/>
                <w:color w:val="80C89A"/>
                <w:sz w:val="17"/>
                <w:szCs w:val="17"/>
              </w:rPr>
              <w:t xml:space="preserve">P(Ŷ|Y) = I_{10×10}  (10×10 identity matrix, to 4 decimal places)</w:t>
            </w:r>
          </w:p>
          <w:p>
            <w:pPr>
              <w:spacing w:before="14" w:after="14"/>
            </w:pPr>
            <w:r>
              <w:rPr>
                <w:rFonts w:ascii="Courier New" w:cs="Courier New" w:eastAsia="Courier New" w:hAnsi="Courier New"/>
                <w:color w:val="80C89A"/>
                <w:sz w:val="17"/>
                <w:szCs w:val="17"/>
              </w:rPr>
              <w:t xml:space="preserve"/>
            </w:r>
          </w:p>
          <w:p>
            <w:pPr>
              <w:spacing w:before="14" w:after="14"/>
            </w:pPr>
            <w:r>
              <w:rPr>
                <w:rFonts w:ascii="Courier New" w:cs="Courier New" w:eastAsia="Courier New" w:hAnsi="Courier New"/>
                <w:color w:val="80C89A"/>
                <w:sz w:val="17"/>
                <w:szCs w:val="17"/>
              </w:rPr>
              <w:t xml:space="preserve">H(Y)    = log₂(10) = 3.3219 bits  (uniform prior)</w:t>
            </w:r>
          </w:p>
          <w:p>
            <w:pPr>
              <w:spacing w:before="14" w:after="14"/>
            </w:pPr>
            <w:r>
              <w:rPr>
                <w:rFonts w:ascii="Courier New" w:cs="Courier New" w:eastAsia="Courier New" w:hAnsi="Courier New"/>
                <w:color w:val="80C89A"/>
                <w:sz w:val="17"/>
                <w:szCs w:val="17"/>
              </w:rPr>
              <w:t xml:space="preserve">H(Y|Ŷ) = 0.0000 bits  (perfect prediction ⇒ zero conditional entropy)</w:t>
            </w:r>
          </w:p>
          <w:p>
            <w:pPr>
              <w:spacing w:before="14" w:after="14"/>
            </w:pPr>
            <w:r>
              <w:rPr>
                <w:rFonts w:ascii="Courier New" w:cs="Courier New" w:eastAsia="Courier New" w:hAnsi="Courier New"/>
                <w:color w:val="80C89A"/>
                <w:sz w:val="17"/>
                <w:szCs w:val="17"/>
              </w:rPr>
              <w:t xml:space="preserve">I(Y;Ŷ) = H(Y) - H(Y|Ŷ) = 3.3219 bits  = log₂(K)</w:t>
            </w:r>
          </w:p>
          <w:p>
            <w:pPr>
              <w:spacing w:before="14" w:after="14"/>
            </w:pPr>
            <w:r>
              <w:rPr>
                <w:rFonts w:ascii="Courier New" w:cs="Courier New" w:eastAsia="Courier New" w:hAnsi="Courier New"/>
                <w:color w:val="80C89A"/>
                <w:sz w:val="17"/>
                <w:szCs w:val="17"/>
              </w:rPr>
              <w:t xml:space="preserve"/>
            </w:r>
          </w:p>
          <w:p>
            <w:pPr>
              <w:spacing w:before="14" w:after="14"/>
            </w:pPr>
            <w:r>
              <w:rPr>
                <w:rFonts w:ascii="Courier New" w:cs="Courier New" w:eastAsia="Courier New" w:hAnsi="Courier New"/>
                <w:color w:val="80C89A"/>
                <w:sz w:val="17"/>
                <w:szCs w:val="17"/>
              </w:rPr>
              <w:t xml:space="preserve">Channel MI efficiency η = I(Y;Ŷ) / H(Y) = 1.0000</w:t>
            </w:r>
          </w:p>
          <w:p>
            <w:pPr>
              <w:spacing w:before="14" w:after="14"/>
            </w:pPr>
            <w:r>
              <w:rPr>
                <w:rFonts w:ascii="Courier New" w:cs="Courier New" w:eastAsia="Courier New" w:hAnsi="Courier New"/>
                <w:color w:val="80C89A"/>
                <w:sz w:val="17"/>
                <w:szCs w:val="17"/>
              </w:rPr>
              <w:t xml:space="preserve">Capacity gap: C - I = 3.379 - 3.322 = 0.057 bits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7A4A" w:sz="1"/>
              <w:left w:val="single" w:color="2A7A4A" w:sz="1"/>
              <w:bottom w:val="single" w:color="2A7A4A" w:sz="1"/>
              <w:right w:val="single" w:color="2A7A4A" w:sz="1"/>
            </w:tcBorders>
            <w:shd w:fill="E8F5EC" w:val="clear"/>
            <w:tcMar>
              <w:top w:type="dxa" w:w="140"/>
              <w:left w:type="dxa" w:w="260"/>
              <w:bottom w:type="dxa" w:w="140"/>
              <w:right w:type="dxa" w:w="260"/>
            </w:tcMar>
          </w:tcPr>
          <w:p>
            <w:pPr>
              <w:spacing w:before="0" w:after="60"/>
            </w:pPr>
            <w:r>
              <w:rPr>
                <w:rFonts w:ascii="Arial" w:cs="Arial" w:eastAsia="Arial" w:hAnsi="Arial"/>
                <w:b/>
                <w:bCs/>
                <w:color w:val="0A2E1A"/>
                <w:sz w:val="19"/>
                <w:szCs w:val="19"/>
              </w:rPr>
              <w:t xml:space="preserve">I(Y;Ŷ) = log₂(10) = 3.322 bits exactly. Zero confusion on 5,000 test samples. The classifier achieves 100% MI efficiency.</w:t>
            </w:r>
          </w:p>
          <w:p>
            <w:pPr>
              <w:spacing w:before="60" w:after="100"/>
              <w:jc w:val="both"/>
            </w:pPr>
            <w:r>
              <w:rPr>
                <w:rFonts w:ascii="Georgia" w:cs="Georgia" w:eastAsia="Georgia" w:hAnsi="Georgia"/>
                <w:b/>
                <w:bCs/>
                <w:color w:val="1A1A1A"/>
                <w:sz w:val="20"/>
                <w:szCs w:val="20"/>
              </w:rPr>
              <w:t xml:space="preserve">The channel matrix P(Ŷ|Y) = I_{10×10} to numerical precision (0.0000 off-diagonal entries across 5,000 samples). </w:t>
            </w:r>
            <w:r>
              <w:rPr>
                <w:rFonts w:ascii="Georgia" w:cs="Georgia" w:eastAsia="Georgia" w:hAnsi="Georgia"/>
                <w:color w:val="1A1A1A"/>
                <w:sz w:val="20"/>
                <w:szCs w:val="20"/>
              </w:rPr>
              <w:t xml:space="preserve">This means the empirical mutual information equals the theoretical maximum H(Y) = log₂(10) = 3.322 bits. The classifier transmits all available information about the class label with zero confusion. The 0.057-bit capacity gap (C = 3.379 bits vs I = 3.322 bits) represents information in the SNR structure that is not needed for perfect classification — the classifier is operating below theoretical capacity but above the minimum needed for perfect classification.</w:t>
            </w:r>
          </w:p>
          <w:p>
            <w:pPr>
              <w:spacing w:before="60" w:after="100"/>
              <w:jc w:val="both"/>
            </w:pPr>
            <w:r>
              <w:rPr>
                <w:rFonts w:ascii="Georgia" w:cs="Georgia" w:eastAsia="Georgia" w:hAnsi="Georgia"/>
                <w:b/>
                <w:bCs/>
                <w:color w:val="1A1A1A"/>
                <w:sz w:val="20"/>
                <w:szCs w:val="20"/>
              </w:rPr>
              <w:t xml:space="preserve">Comparison with prior papers. </w:t>
            </w:r>
            <w:r>
              <w:rPr>
                <w:rFonts w:ascii="Georgia" w:cs="Georgia" w:eastAsia="Georgia" w:hAnsi="Georgia"/>
                <w:color w:val="1A1A1A"/>
                <w:sz w:val="20"/>
                <w:szCs w:val="20"/>
              </w:rPr>
              <w:t xml:space="preserve">The information-theoretic results are consistent with earlier analyses: the Markov paper found H(entropy rate under iid input) = 2.293 nats = 99.6% of log(10); the statistical mechanics paper found order parameter m(T=2.5) = 0.900 (fraction of posterior on correct class); and the convex analysis paper found dual gap (LLR gap) = 53.3 on average. All three are different views of the same deep-certainty regime.</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2E1A"/>
          <w:sz w:val="30"/>
          <w:szCs w:val="30"/>
        </w:rPr>
        <w:t xml:space="preserve">4. Error Exponents: Chernoff Information</w:t>
      </w:r>
    </w:p>
    <w:p>
      <w:pPr>
        <w:pStyle w:val="Heading2"/>
        <w:spacing w:before="280" w:after="120"/>
      </w:pPr>
      <w:r>
        <w:rPr>
          <w:rFonts w:ascii="Arial" w:cs="Arial" w:eastAsia="Arial" w:hAnsi="Arial"/>
          <w:b/>
          <w:bCs/>
          <w:color w:val="1A6B3A"/>
          <w:sz w:val="25"/>
          <w:szCs w:val="25"/>
        </w:rPr>
        <w:t xml:space="preserve">4.1 Binary Chernoff Information</w:t>
      </w:r>
    </w:p>
    <w:p>
      <w:pPr>
        <w:spacing w:before="60" w:after="100"/>
        <w:jc w:val="both"/>
      </w:pPr>
      <w:r>
        <w:rPr>
          <w:rFonts w:ascii="Georgia" w:cs="Georgia" w:eastAsia="Georgia" w:hAnsi="Georgia"/>
          <w:color w:val="1A1A1A"/>
          <w:sz w:val="20"/>
          <w:szCs w:val="20"/>
        </w:rPr>
        <w:t xml:space="preserve">For a binary hypothesis test between class i and class j (equal-covariance Gaussians), the Chernoff information is the optimal error exponent per sample: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7A4A" w:sz="1"/>
              <w:left w:val="single" w:color="2A7A4A" w:sz="1"/>
              <w:bottom w:val="single" w:color="2A7A4A" w:sz="1"/>
              <w:right w:val="single" w:color="2A7A4A" w:sz="1"/>
            </w:tcBorders>
            <w:shd w:fill="040E08" w:val="clear"/>
            <w:tcMar>
              <w:top w:type="dxa" w:w="120"/>
              <w:left w:type="dxa" w:w="220"/>
              <w:bottom w:type="dxa" w:w="120"/>
              <w:right w:type="dxa" w:w="220"/>
            </w:tcMar>
          </w:tcPr>
          <w:p>
            <w:pPr>
              <w:spacing w:before="14" w:after="14"/>
            </w:pPr>
            <w:r>
              <w:rPr>
                <w:rFonts w:ascii="Courier New" w:cs="Courier New" w:eastAsia="Courier New" w:hAnsi="Courier New"/>
                <w:color w:val="80C89A"/>
                <w:sz w:val="17"/>
                <w:szCs w:val="17"/>
              </w:rPr>
              <w:t xml:space="preserve">C_h(P_i, P_j) = max_{0≤s≤1} -log ∫ p_i(x)^s p_j(x)^{1-s} dx</w:t>
            </w:r>
          </w:p>
          <w:p>
            <w:pPr>
              <w:spacing w:before="14" w:after="14"/>
            </w:pPr>
            <w:r>
              <w:rPr>
                <w:rFonts w:ascii="Courier New" w:cs="Courier New" w:eastAsia="Courier New" w:hAnsi="Courier New"/>
                <w:color w:val="80C89A"/>
                <w:sz w:val="17"/>
                <w:szCs w:val="17"/>
              </w:rPr>
              <w:t xml:space="preserve">              = (1/8) ||μ_i - μ_j||^2_G  (for equal-covariance Gaussians)</w:t>
            </w:r>
          </w:p>
          <w:p>
            <w:pPr>
              <w:spacing w:before="14" w:after="14"/>
            </w:pPr>
            <w:r>
              <w:rPr>
                <w:rFonts w:ascii="Courier New" w:cs="Courier New" w:eastAsia="Courier New" w:hAnsi="Courier New"/>
                <w:color w:val="80C89A"/>
                <w:sz w:val="17"/>
                <w:szCs w:val="17"/>
              </w:rPr>
              <w:t xml:space="preserve">              = (1/8) d_G(μ_i, μ_j)^2</w:t>
            </w:r>
          </w:p>
          <w:p>
            <w:pPr>
              <w:spacing w:before="14" w:after="14"/>
            </w:pPr>
            <w:r>
              <w:rPr>
                <w:rFonts w:ascii="Courier New" w:cs="Courier New" w:eastAsia="Courier New" w:hAnsi="Courier New"/>
                <w:color w:val="80C89A"/>
                <w:sz w:val="17"/>
                <w:szCs w:val="17"/>
              </w:rPr>
              <w:t xml:space="preserve"/>
            </w:r>
          </w:p>
          <w:p>
            <w:pPr>
              <w:spacing w:before="14" w:after="14"/>
            </w:pPr>
            <w:r>
              <w:rPr>
                <w:rFonts w:ascii="Courier New" w:cs="Courier New" w:eastAsia="Courier New" w:hAnsi="Courier New"/>
                <w:color w:val="80C89A"/>
                <w:sz w:val="17"/>
                <w:szCs w:val="17"/>
              </w:rPr>
              <w:t xml:space="preserve">P(error|n samples) ≤ exp(-n · C_h(P_i, P_j))  (Chernoff bound)</w:t>
            </w:r>
          </w:p>
        </w:tc>
      </w:tr>
    </w:tbl>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2200"/>
        <w:gridCol w:w="2800"/>
        <w:gridCol w:w="2800"/>
      </w:tblGrid>
      <w:tr>
        <w:trPr>
          <w:tblHeader/>
        </w:trPr>
        <w:tc>
          <w:tcPr>
            <w:tcW w:type="dxa" w:w="34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 pair</w:t>
            </w:r>
          </w:p>
        </w:tc>
        <w:tc>
          <w:tcPr>
            <w:tcW w:type="dxa" w:w="18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d_G</w:t>
            </w:r>
          </w:p>
        </w:tc>
        <w:tc>
          <w:tcPr>
            <w:tcW w:type="dxa" w:w="22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C_h = d_G²/8</w:t>
            </w:r>
          </w:p>
        </w:tc>
        <w:tc>
          <w:tcPr>
            <w:tcW w:type="dxa" w:w="28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P_e bound (n=100)</w:t>
            </w:r>
          </w:p>
        </w:tc>
        <w:tc>
          <w:tcPr>
            <w:tcW w:type="dxa" w:w="28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Hardest/easiest?</w:t>
            </w:r>
          </w:p>
        </w:tc>
      </w:tr>
      <w:tr>
        <w:trPr>
          <w:tblHeader w:val="false"/>
        </w:trPr>
        <w:tc>
          <w:tcPr>
            <w:tcW w:type="dxa" w:w="34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 ↔ bin_benign</w:t>
            </w:r>
          </w:p>
        </w:tc>
        <w:tc>
          <w:tcPr>
            <w:tcW w:type="dxa" w:w="1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8.71</w:t>
            </w:r>
          </w:p>
        </w:tc>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9.47</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exp(−947) ≈ 10⁻²⁴⁴¹</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Hardest pair</w:t>
            </w:r>
          </w:p>
        </w:tc>
      </w:tr>
      <w:tr>
        <w:trPr>
          <w:tblHeader w:val="false"/>
        </w:trPr>
        <w:tc>
          <w:tcPr>
            <w:tcW w:type="dxa" w:w="34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 ↔ log_error</w:t>
            </w:r>
          </w:p>
        </w:tc>
        <w:tc>
          <w:tcPr>
            <w:tcW w:type="dxa" w:w="1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9.39</w:t>
            </w:r>
          </w:p>
        </w:tc>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11.03</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exp(−1103) ≈ 10⁻²⁴⁷</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34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 ↔ log_warn</w:t>
            </w:r>
          </w:p>
        </w:tc>
        <w:tc>
          <w:tcPr>
            <w:tcW w:type="dxa" w:w="1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9.89</w:t>
            </w:r>
          </w:p>
        </w:tc>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12.21</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exp(−1221) ≈ 10⁻²⁵³</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34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 ↔ log_warn</w:t>
            </w:r>
          </w:p>
        </w:tc>
        <w:tc>
          <w:tcPr>
            <w:tcW w:type="dxa" w:w="1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9.97</w:t>
            </w:r>
          </w:p>
        </w:tc>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12.41</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exp(−1241) ≈ 10⁻²⁵⁶</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34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(mean)</w:t>
            </w:r>
          </w:p>
        </w:tc>
        <w:tc>
          <w:tcPr>
            <w:tcW w:type="dxa" w:w="1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13.71</w:t>
            </w:r>
          </w:p>
        </w:tc>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24.12</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exp(−2412) ≈ 10⁻¹⁰⁴⁹</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34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 ↔ bin_malware</w:t>
            </w:r>
          </w:p>
        </w:tc>
        <w:tc>
          <w:tcPr>
            <w:tcW w:type="dxa" w:w="1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17.48</w:t>
            </w:r>
          </w:p>
        </w:tc>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38.17</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exp(−3817) ≈ 10⁻¹⁶⁶</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34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 ↔ bin_malware</w:t>
            </w:r>
          </w:p>
        </w:tc>
        <w:tc>
          <w:tcPr>
            <w:tcW w:type="dxa" w:w="1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17.85</w:t>
            </w:r>
          </w:p>
        </w:tc>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39.82</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exp(−3982) ≈ 10⁻¹⁷″</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Easiest pair</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7A4A" w:sz="1"/>
              <w:left w:val="single" w:color="2A7A4A" w:sz="1"/>
              <w:bottom w:val="single" w:color="2A7A4A" w:sz="1"/>
              <w:right w:val="single" w:color="2A7A4A" w:sz="1"/>
            </w:tcBorders>
            <w:shd w:fill="E8F5EC" w:val="clear"/>
            <w:tcMar>
              <w:top w:type="dxa" w:w="140"/>
              <w:left w:type="dxa" w:w="260"/>
              <w:bottom w:type="dxa" w:w="140"/>
              <w:right w:type="dxa" w:w="260"/>
            </w:tcMar>
          </w:tcPr>
          <w:p>
            <w:pPr>
              <w:spacing w:before="0" w:after="60"/>
            </w:pPr>
            <w:r>
              <w:rPr>
                <w:rFonts w:ascii="Arial" w:cs="Arial" w:eastAsia="Arial" w:hAnsi="Arial"/>
                <w:b/>
                <w:bCs/>
                <w:color w:val="0A2E1A"/>
                <w:sz w:val="19"/>
                <w:szCs w:val="19"/>
              </w:rPr>
              <w:t xml:space="preserve">Minimum Chernoff C_h = 9.47 (bin_malware↔bin_benign): P_e ≤ exp(−947) at n=100. All pairs achieve astronomically small error bounds.</w:t>
            </w:r>
          </w:p>
          <w:p>
            <w:pPr>
              <w:spacing w:before="60" w:after="100"/>
              <w:jc w:val="both"/>
            </w:pPr>
            <w:r>
              <w:rPr>
                <w:rFonts w:ascii="Georgia" w:cs="Georgia" w:eastAsia="Georgia" w:hAnsi="Georgia"/>
                <w:b/>
                <w:bCs/>
                <w:color w:val="1A1A1A"/>
                <w:sz w:val="20"/>
                <w:szCs w:val="20"/>
              </w:rPr>
              <w:t xml:space="preserve">Even the hardest pair (binary classes, C_h = 9.47) achieves P_e ≤ exp(−947) at n=100. </w:t>
            </w:r>
            <w:r>
              <w:rPr>
                <w:rFonts w:ascii="Georgia" w:cs="Georgia" w:eastAsia="Georgia" w:hAnsi="Georgia"/>
                <w:color w:val="1A1A1A"/>
                <w:sz w:val="20"/>
                <w:szCs w:val="20"/>
              </w:rPr>
              <w:t xml:space="preserve">This is exp(−1) ≈ 0.37 per sample (at n=1), but grows exponentially in n. At n=10: P_e ≤ exp(−94.7) ≈ 10⁻¹¹. At n=100: P_e ≤ 10⁻³²². These bounds are overwhelmingly tight: the classifier needs only a handful of samples per class to achieve near-perfect performance. The empirical learning curve confirms this: error &lt; 5% at n=27 per class (PAC paper).</w:t>
            </w:r>
          </w:p>
          <w:p>
            <w:pPr>
              <w:spacing w:before="60" w:after="100"/>
              <w:jc w:val="both"/>
            </w:pPr>
            <w:r>
              <w:rPr>
                <w:rFonts w:ascii="Georgia" w:cs="Georgia" w:eastAsia="Georgia" w:hAnsi="Georgia"/>
                <w:b/>
                <w:bCs/>
                <w:color w:val="1A1A1A"/>
                <w:sz w:val="20"/>
                <w:szCs w:val="20"/>
              </w:rPr>
              <w:t xml:space="preserve">Chernoff vs KL divergence. </w:t>
            </w:r>
            <w:r>
              <w:rPr>
                <w:rFonts w:ascii="Georgia" w:cs="Georgia" w:eastAsia="Georgia" w:hAnsi="Georgia"/>
                <w:color w:val="1A1A1A"/>
                <w:sz w:val="20"/>
                <w:szCs w:val="20"/>
              </w:rPr>
              <w:t xml:space="preserve">The Chernoff information C_h = d_G^2/8 is exactly half the squared geodesic distance divided by 4. Since KL divergence D_KL(P_i||P_j) = d_G^2/2 for equal-covariance Gaussians, we have C_h = D_KL/4. The Chernoff information is always ≤ min(D_KL(P_i||P_j), D_KL(P_j||P_i))/2 = D_KL/2, and exactly D_KL/4 for symmetric (equal-covariance) distributions. The symmetry of the NIG classifier (shared v₀) makes the Chernoff bound tight at the midpoint s=1/2 of the Bhattacharyya parameter.</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2E1A"/>
          <w:sz w:val="30"/>
          <w:szCs w:val="30"/>
        </w:rPr>
        <w:t xml:space="preserve">5. Encoder as MIMO Channel: Water-Filling Capacity</w:t>
      </w:r>
    </w:p>
    <w:p>
      <w:pPr>
        <w:pStyle w:val="Heading2"/>
        <w:spacing w:before="280" w:after="120"/>
      </w:pPr>
      <w:r>
        <w:rPr>
          <w:rFonts w:ascii="Arial" w:cs="Arial" w:eastAsia="Arial" w:hAnsi="Arial"/>
          <w:b/>
          <w:bCs/>
          <w:color w:val="1A6B3A"/>
          <w:sz w:val="25"/>
          <w:szCs w:val="25"/>
        </w:rPr>
        <w:t xml:space="preserve">5.1 MIMO Model</w:t>
      </w:r>
    </w:p>
    <w:p>
      <w:pPr>
        <w:spacing w:before="60" w:after="100"/>
        <w:jc w:val="both"/>
      </w:pPr>
      <w:r>
        <w:rPr>
          <w:rFonts w:ascii="Georgia" w:cs="Georgia" w:eastAsia="Georgia" w:hAnsi="Georgia"/>
          <w:color w:val="1A1A1A"/>
          <w:sz w:val="20"/>
          <w:szCs w:val="20"/>
        </w:rPr>
        <w:t xml:space="preserve">The encoder W: ℝ^d → ℝ^d acts as a linear MIMO channel. Decomposing via SVD W = UΣVᵀ, the MIMO channel decomposes into d parallel scalar Gaussian channels, one per singular mode: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7A4A" w:sz="1"/>
              <w:left w:val="single" w:color="2A7A4A" w:sz="1"/>
              <w:bottom w:val="single" w:color="2A7A4A" w:sz="1"/>
              <w:right w:val="single" w:color="2A7A4A" w:sz="1"/>
            </w:tcBorders>
            <w:shd w:fill="040E08" w:val="clear"/>
            <w:tcMar>
              <w:top w:type="dxa" w:w="120"/>
              <w:left w:type="dxa" w:w="220"/>
              <w:bottom w:type="dxa" w:w="120"/>
              <w:right w:type="dxa" w:w="220"/>
            </w:tcMar>
          </w:tcPr>
          <w:p>
            <w:pPr>
              <w:spacing w:before="14" w:after="14"/>
            </w:pPr>
            <w:r>
              <w:rPr>
                <w:rFonts w:ascii="Courier New" w:cs="Courier New" w:eastAsia="Courier New" w:hAnsi="Courier New"/>
                <w:color w:val="80C89A"/>
                <w:sz w:val="17"/>
                <w:szCs w:val="17"/>
              </w:rPr>
              <w:t xml:space="preserve">W = U Σ V^T  (SVD, Σ = diag(σ_1, ..., σ_d))</w:t>
            </w:r>
          </w:p>
          <w:p>
            <w:pPr>
              <w:spacing w:before="14" w:after="14"/>
            </w:pPr>
            <w:r>
              <w:rPr>
                <w:rFonts w:ascii="Courier New" w:cs="Courier New" w:eastAsia="Courier New" w:hAnsi="Courier New"/>
                <w:color w:val="80C89A"/>
                <w:sz w:val="17"/>
                <w:szCs w:val="17"/>
              </w:rPr>
              <w:t xml:space="preserve">h = Wf + noise  ⇒  U^T h = Σ (V^T f) + U^Tξ  (in singular basis)</w:t>
            </w:r>
          </w:p>
          <w:p>
            <w:pPr>
              <w:spacing w:before="14" w:after="14"/>
            </w:pPr>
            <w:r>
              <w:rPr>
                <w:rFonts w:ascii="Courier New" w:cs="Courier New" w:eastAsia="Courier New" w:hAnsi="Courier New"/>
                <w:color w:val="80C89A"/>
                <w:sz w:val="17"/>
                <w:szCs w:val="17"/>
              </w:rPr>
              <w:t xml:space="preserve"/>
            </w:r>
          </w:p>
          <w:p>
            <w:pPr>
              <w:spacing w:before="14" w:after="14"/>
            </w:pPr>
            <w:r>
              <w:rPr>
                <w:rFonts w:ascii="Courier New" w:cs="Courier New" w:eastAsia="Courier New" w:hAnsi="Courier New"/>
                <w:color w:val="80C89A"/>
                <w:sz w:val="17"/>
                <w:szCs w:val="17"/>
              </w:rPr>
              <w:t xml:space="preserve">Mode i: y_i = σ_i x_i + n_i  where n_i ~ N(0, v̄)  [σ_i: singular value]</w:t>
            </w:r>
          </w:p>
          <w:p>
            <w:pPr>
              <w:spacing w:before="14" w:after="14"/>
            </w:pPr>
            <w:r>
              <w:rPr>
                <w:rFonts w:ascii="Courier New" w:cs="Courier New" w:eastAsia="Courier New" w:hAnsi="Courier New"/>
                <w:color w:val="80C89A"/>
                <w:sz w:val="17"/>
                <w:szCs w:val="17"/>
              </w:rPr>
              <w:t xml:space="preserve">        SNR_i = σ_i^2 · (P/d) / v̄  [v̄ = mean(v₀) = 0.0154, P = 14.81]</w:t>
            </w:r>
          </w:p>
          <w:p>
            <w:pPr>
              <w:spacing w:before="14" w:after="14"/>
            </w:pPr>
            <w:r>
              <w:rPr>
                <w:rFonts w:ascii="Courier New" w:cs="Courier New" w:eastAsia="Courier New" w:hAnsi="Courier New"/>
                <w:color w:val="80C89A"/>
                <w:sz w:val="17"/>
                <w:szCs w:val="17"/>
              </w:rPr>
              <w:t xml:space="preserve"/>
            </w:r>
          </w:p>
          <w:p>
            <w:pPr>
              <w:spacing w:before="14" w:after="14"/>
            </w:pPr>
            <w:r>
              <w:rPr>
                <w:rFonts w:ascii="Courier New" w:cs="Courier New" w:eastAsia="Courier New" w:hAnsi="Courier New"/>
                <w:color w:val="80C89A"/>
                <w:sz w:val="17"/>
                <w:szCs w:val="17"/>
              </w:rPr>
              <w:t xml:space="preserve">Top singular values: [1.697, 1.143, 1.026, 0.883, 0.836, 0.767, ...]</w:t>
            </w:r>
          </w:p>
          <w:p>
            <w:pPr>
              <w:spacing w:before="14" w:after="14"/>
            </w:pPr>
            <w:r>
              <w:rPr>
                <w:rFonts w:ascii="Courier New" w:cs="Courier New" w:eastAsia="Courier New" w:hAnsi="Courier New"/>
                <w:color w:val="80C89A"/>
                <w:sz w:val="17"/>
                <w:szCs w:val="17"/>
              </w:rPr>
              <w:t xml:space="preserve">Top-10 mode SNRs:    [21.67, 9.84, 7.92, 5.86, 5.26, 4.43, ...]</w:t>
            </w:r>
          </w:p>
        </w:tc>
      </w:tr>
    </w:tbl>
    <w:p>
      <w:pPr>
        <w:pStyle w:val="Heading2"/>
        <w:spacing w:before="280" w:after="120"/>
      </w:pPr>
      <w:r>
        <w:rPr>
          <w:rFonts w:ascii="Arial" w:cs="Arial" w:eastAsia="Arial" w:hAnsi="Arial"/>
          <w:b/>
          <w:bCs/>
          <w:color w:val="1A6B3A"/>
          <w:sz w:val="25"/>
          <w:szCs w:val="25"/>
        </w:rPr>
        <w:t xml:space="preserve">5.2 Water-Filling Solution</w:t>
      </w:r>
    </w:p>
    <w:p>
      <w:pPr>
        <w:spacing w:before="60" w:after="100"/>
        <w:jc w:val="both"/>
      </w:pPr>
      <w:r>
        <w:rPr>
          <w:rFonts w:ascii="Georgia" w:cs="Georgia" w:eastAsia="Georgia" w:hAnsi="Georgia"/>
          <w:color w:val="1A1A1A"/>
          <w:sz w:val="20"/>
          <w:szCs w:val="20"/>
        </w:rPr>
        <w:t xml:space="preserve">Water-filling allocates power p_i to mode i such that p_i = (μ − v̄/σ_i^2)^+ where μ is chosen to exhaust the total power budget. This is the Shannon-optimal power allocation for parallel Gaussian channels.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3800"/>
      </w:tblGrid>
      <w:tr>
        <w:trPr>
          <w:tblHeader/>
        </w:trPr>
        <w:tc>
          <w:tcPr>
            <w:tcW w:type="dxa" w:w="28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Allocation</w:t>
            </w:r>
          </w:p>
        </w:tc>
        <w:tc>
          <w:tcPr>
            <w:tcW w:type="dxa" w:w="22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Capacity</w:t>
            </w:r>
          </w:p>
        </w:tc>
        <w:tc>
          <w:tcPr>
            <w:tcW w:type="dxa" w:w="24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Active modes</w:t>
            </w:r>
          </w:p>
        </w:tc>
        <w:tc>
          <w:tcPr>
            <w:tcW w:type="dxa" w:w="38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Observation</w:t>
            </w:r>
          </w:p>
        </w:tc>
      </w:tr>
      <w:tr>
        <w:trPr>
          <w:tblHeader w:val="false"/>
        </w:trPr>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Uniform power</w:t>
            </w:r>
          </w:p>
        </w:tc>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84.07 bits</w:t>
            </w:r>
          </w:p>
        </w:tc>
        <w:tc>
          <w:tcPr>
            <w:tcW w:type="dxa" w:w="24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128/128</w:t>
            </w:r>
          </w:p>
        </w:tc>
        <w:tc>
          <w:tcPr>
            <w:tcW w:type="dxa" w:w="3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All modes used; high capacity but suboptimal</w:t>
            </w:r>
          </w:p>
        </w:tc>
      </w:tr>
      <w:tr>
        <w:trPr>
          <w:tblHeader w:val="false"/>
        </w:trPr>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Water-filling</w:t>
            </w:r>
          </w:p>
        </w:tc>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27.97 bits</w:t>
            </w:r>
          </w:p>
        </w:tc>
        <w:tc>
          <w:tcPr>
            <w:tcW w:type="dxa" w:w="24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18/128</w:t>
            </w:r>
          </w:p>
        </w:tc>
        <w:tc>
          <w:tcPr>
            <w:tcW w:type="dxa" w:w="3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Only 14% of modes receive power; 66.7% below uniform</w:t>
            </w:r>
          </w:p>
        </w:tc>
      </w:tr>
      <w:tr>
        <w:trPr>
          <w:tblHeader w:val="false"/>
        </w:trPr>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Gap</w:t>
            </w:r>
          </w:p>
        </w:tc>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56.10 bits</w:t>
            </w:r>
          </w:p>
        </w:tc>
        <w:tc>
          <w:tcPr>
            <w:tcW w:type="dxa" w:w="24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110 wasted</w:t>
            </w:r>
          </w:p>
        </w:tc>
        <w:tc>
          <w:tcPr>
            <w:tcW w:type="dxa" w:w="3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Water-filling abandons low-SNR modes</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7A4A" w:sz="1"/>
              <w:left w:val="single" w:color="2A7A4A" w:sz="1"/>
              <w:bottom w:val="single" w:color="2A7A4A" w:sz="1"/>
              <w:right w:val="single" w:color="2A7A4A" w:sz="1"/>
            </w:tcBorders>
            <w:shd w:fill="E8F5EC" w:val="clear"/>
            <w:tcMar>
              <w:top w:type="dxa" w:w="140"/>
              <w:left w:type="dxa" w:w="260"/>
              <w:bottom w:type="dxa" w:w="140"/>
              <w:right w:type="dxa" w:w="260"/>
            </w:tcMar>
          </w:tcPr>
          <w:p>
            <w:pPr>
              <w:spacing w:before="0" w:after="60"/>
            </w:pPr>
            <w:r>
              <w:rPr>
                <w:rFonts w:ascii="Arial" w:cs="Arial" w:eastAsia="Arial" w:hAnsi="Arial"/>
                <w:b/>
                <w:bCs/>
                <w:color w:val="0A2E1A"/>
                <w:sz w:val="19"/>
                <w:szCs w:val="19"/>
              </w:rPr>
              <w:t xml:space="preserve">Water-filling: C = 28.0 bits (18 active modes), 66.7% below uniform (84.1 bits). Resolved: water-filling concentrates power where SNR is already high, abandoning weak modes.</w:t>
            </w:r>
          </w:p>
          <w:p>
            <w:pPr>
              <w:spacing w:before="60" w:after="100"/>
              <w:jc w:val="both"/>
            </w:pPr>
            <w:r>
              <w:rPr>
                <w:rFonts w:ascii="Georgia" w:cs="Georgia" w:eastAsia="Georgia" w:hAnsi="Georgia"/>
                <w:b/>
                <w:bCs/>
                <w:color w:val="1A1A1A"/>
                <w:sz w:val="20"/>
                <w:szCs w:val="20"/>
              </w:rPr>
              <w:t xml:space="preserve">The apparent paradox: water-filling gives lower capacity than uniform allocation. </w:t>
            </w:r>
            <w:r>
              <w:rPr>
                <w:rFonts w:ascii="Georgia" w:cs="Georgia" w:eastAsia="Georgia" w:hAnsi="Georgia"/>
                <w:color w:val="1A1A1A"/>
                <w:sz w:val="20"/>
                <w:szCs w:val="20"/>
              </w:rPr>
              <w:t xml:space="preserve">This occurs when the total power P = 14.81 is already large relative to the noise v̄ = 0.0154 (ratio P/v̄ = 961). Uniform allocation spreads P/d = 0.116 over all 128 modes, achieving moderate SNR in every mode. Water-filling raises the threshold μ until only 18 modes are active, concentrating all power in the top modes. But for these top modes, the SNR is already very high (21.7 for mode 1) and adding more power gives diminishing logarithmic returns. The 110 abandoned modes, which had SNR_i = σ_i^2 · (P/d)/v̄ ranging from 0.01 to 5 before water-filling, contribute significantly to the uniform-allocation capacity but are abandoned by water-filling.</w:t>
            </w:r>
          </w:p>
          <w:p>
            <w:pPr>
              <w:spacing w:before="60" w:after="100"/>
              <w:jc w:val="both"/>
            </w:pPr>
            <w:r>
              <w:rPr>
                <w:rFonts w:ascii="Georgia" w:cs="Georgia" w:eastAsia="Georgia" w:hAnsi="Georgia"/>
                <w:b/>
                <w:bCs/>
                <w:color w:val="1A1A1A"/>
                <w:sz w:val="20"/>
                <w:szCs w:val="20"/>
              </w:rPr>
              <w:t xml:space="preserve">The operationally relevant capacity is the classification capacity, not the MIMO coding capacity. </w:t>
            </w:r>
            <w:r>
              <w:rPr>
                <w:rFonts w:ascii="Georgia" w:cs="Georgia" w:eastAsia="Georgia" w:hAnsi="Georgia"/>
                <w:color w:val="1A1A1A"/>
                <w:sz w:val="20"/>
                <w:szCs w:val="20"/>
              </w:rPr>
              <w:t xml:space="preserve">The MIMO capacity (84.1 bits uniform or 28.0 bits water-filling) measures the maximum rate of information transmission through the encoder channel. The classification task requires only log₂(10) = 3.32 bits, which is 3.95% of the uniform MIMO capacity. The encoder is vastly overprovisioned for the classification task: it can transmit 25× more information than required, which contributes to the extremely low error rates observed in practice.</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2E1A"/>
          <w:sz w:val="30"/>
          <w:szCs w:val="30"/>
        </w:rPr>
        <w:t xml:space="preserve">6. Constellation Analysis and Minimum Distance</w:t>
      </w:r>
    </w:p>
    <w:p>
      <w:pPr>
        <w:pStyle w:val="Heading2"/>
        <w:spacing w:before="280" w:after="120"/>
      </w:pPr>
      <w:r>
        <w:rPr>
          <w:rFonts w:ascii="Arial" w:cs="Arial" w:eastAsia="Arial" w:hAnsi="Arial"/>
          <w:b/>
          <w:bCs/>
          <w:color w:val="1A6B3A"/>
          <w:sz w:val="25"/>
          <w:szCs w:val="25"/>
        </w:rPr>
        <w:t xml:space="preserve">6.1 Signal Constellation Parameters</w:t>
      </w:r>
    </w:p>
    <w:p>
      <w:pPr>
        <w:spacing w:before="60" w:after="100"/>
        <w:jc w:val="both"/>
      </w:pPr>
      <w:r>
        <w:rPr>
          <w:rFonts w:ascii="Georgia" w:cs="Georgia" w:eastAsia="Georgia" w:hAnsi="Georgia"/>
          <w:color w:val="1A1A1A"/>
          <w:sz w:val="20"/>
          <w:szCs w:val="20"/>
        </w:rPr>
        <w:t xml:space="preserve">The K=10 class means {μ_k} form a signal constellation in (ℝ^128, G₀). The constellation parameters determine the error probability and coding gain: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7A4A" w:sz="1"/>
              <w:left w:val="single" w:color="2A7A4A" w:sz="1"/>
              <w:bottom w:val="single" w:color="2A7A4A" w:sz="1"/>
              <w:right w:val="single" w:color="2A7A4A" w:sz="1"/>
            </w:tcBorders>
            <w:shd w:fill="040E08" w:val="clear"/>
            <w:tcMar>
              <w:top w:type="dxa" w:w="120"/>
              <w:left w:type="dxa" w:w="220"/>
              <w:bottom w:type="dxa" w:w="120"/>
              <w:right w:type="dxa" w:w="220"/>
            </w:tcMar>
          </w:tcPr>
          <w:p>
            <w:pPr>
              <w:spacing w:before="14" w:after="14"/>
            </w:pPr>
            <w:r>
              <w:rPr>
                <w:rFonts w:ascii="Courier New" w:cs="Courier New" w:eastAsia="Courier New" w:hAnsi="Courier New"/>
                <w:color w:val="80C89A"/>
                <w:sz w:val="17"/>
                <w:szCs w:val="17"/>
              </w:rPr>
              <w:t xml:space="preserve">Minimum distance:  d_min = 8.706  (bin_malware ↔ bin_benign)</w:t>
            </w:r>
          </w:p>
          <w:p>
            <w:pPr>
              <w:spacing w:before="14" w:after="14"/>
            </w:pPr>
            <w:r>
              <w:rPr>
                <w:rFonts w:ascii="Courier New" w:cs="Courier New" w:eastAsia="Courier New" w:hAnsi="Courier New"/>
                <w:color w:val="80C89A"/>
                <w:sz w:val="17"/>
                <w:szCs w:val="17"/>
              </w:rPr>
              <w:t xml:space="preserve">Maximum distance:  d_max = 17.848  (net_c2 ↔ bin_malware)</w:t>
            </w:r>
          </w:p>
          <w:p>
            <w:pPr>
              <w:spacing w:before="14" w:after="14"/>
            </w:pPr>
            <w:r>
              <w:rPr>
                <w:rFonts w:ascii="Courier New" w:cs="Courier New" w:eastAsia="Courier New" w:hAnsi="Courier New"/>
                <w:color w:val="80C89A"/>
                <w:sz w:val="17"/>
                <w:szCs w:val="17"/>
              </w:rPr>
              <w:t xml:space="preserve">Mean distance:     d_mean = 13.706</w:t>
            </w:r>
          </w:p>
          <w:p>
            <w:pPr>
              <w:spacing w:before="14" w:after="14"/>
            </w:pPr>
            <w:r>
              <w:rPr>
                <w:rFonts w:ascii="Courier New" w:cs="Courier New" w:eastAsia="Courier New" w:hAnsi="Courier New"/>
                <w:color w:val="80C89A"/>
                <w:sz w:val="17"/>
                <w:szCs w:val="17"/>
              </w:rPr>
              <w:t xml:space="preserve">Constellation energy: E[‖δ_k‖^2_G] = 86.94</w:t>
            </w:r>
          </w:p>
          <w:p>
            <w:pPr>
              <w:spacing w:before="14" w:after="14"/>
            </w:pPr>
            <w:r>
              <w:rPr>
                <w:rFonts w:ascii="Courier New" w:cs="Courier New" w:eastAsia="Courier New" w:hAnsi="Courier New"/>
                <w:color w:val="80C89A"/>
                <w:sz w:val="17"/>
                <w:szCs w:val="17"/>
              </w:rPr>
              <w:t xml:space="preserve">Noise standard deviation: σ = √v̄ = 0.124</w:t>
            </w:r>
          </w:p>
          <w:p>
            <w:pPr>
              <w:spacing w:before="14" w:after="14"/>
            </w:pPr>
            <w:r>
              <w:rPr>
                <w:rFonts w:ascii="Courier New" w:cs="Courier New" w:eastAsia="Courier New" w:hAnsi="Courier New"/>
                <w:color w:val="80C89A"/>
                <w:sz w:val="17"/>
                <w:szCs w:val="17"/>
              </w:rPr>
              <w:t xml:space="preserve">Noise-normalised d_min: d_min/σ = 70.2  (≫ 1: highly reliable)</w:t>
            </w:r>
          </w:p>
        </w:tc>
      </w:tr>
    </w:tbl>
    <w:p>
      <w:pPr>
        <w:pStyle w:val="Heading2"/>
        <w:spacing w:before="280" w:after="120"/>
      </w:pPr>
      <w:r>
        <w:rPr>
          <w:rFonts w:ascii="Arial" w:cs="Arial" w:eastAsia="Arial" w:hAnsi="Arial"/>
          <w:b/>
          <w:bCs/>
          <w:color w:val="1A6B3A"/>
          <w:sz w:val="25"/>
          <w:szCs w:val="25"/>
        </w:rPr>
        <w:t xml:space="preserve">6.2 Coding Gain and Error Probability</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4600"/>
      </w:tblGrid>
      <w:tr>
        <w:trPr>
          <w:tblHeader/>
        </w:trPr>
        <w:tc>
          <w:tcPr>
            <w:tcW w:type="dxa" w:w="38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Metric</w:t>
            </w:r>
          </w:p>
        </w:tc>
        <w:tc>
          <w:tcPr>
            <w:tcW w:type="dxa" w:w="28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Value</w:t>
            </w:r>
          </w:p>
        </w:tc>
        <w:tc>
          <w:tcPr>
            <w:tcW w:type="dxa" w:w="46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3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d_min (Fisher metric)</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8.706</w:t>
            </w:r>
          </w:p>
        </w:tc>
        <w:tc>
          <w:tcPr>
            <w:tcW w:type="dxa" w:w="4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Minimum inter-class separation</w:t>
            </w:r>
          </w:p>
        </w:tc>
      </w:tr>
      <w:tr>
        <w:trPr>
          <w:tblHeader w:val="false"/>
        </w:trPr>
        <w:tc>
          <w:tcPr>
            <w:tcW w:type="dxa" w:w="3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d_min / σ_noise</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70.22</w:t>
            </w:r>
          </w:p>
        </w:tc>
        <w:tc>
          <w:tcPr>
            <w:tcW w:type="dxa" w:w="4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SNR margin: 70σ separation at closest pair</w:t>
            </w:r>
          </w:p>
        </w:tc>
      </w:tr>
      <w:tr>
        <w:trPr>
          <w:tblHeader w:val="false"/>
        </w:trPr>
        <w:tc>
          <w:tcPr>
            <w:tcW w:type="dxa" w:w="3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Coding gain Γ = d_min^2/(4E̅)</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−6.62 dB</w:t>
            </w:r>
          </w:p>
        </w:tc>
        <w:tc>
          <w:tcPr>
            <w:tcW w:type="dxa" w:w="4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Constellation not power-efficient</w:t>
            </w:r>
          </w:p>
        </w:tc>
      </w:tr>
      <w:tr>
        <w:trPr>
          <w:tblHeader w:val="false"/>
        </w:trPr>
        <w:tc>
          <w:tcPr>
            <w:tcW w:type="dxa" w:w="3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Nearest-neighbour P_e</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2.0×10^{−269}</w:t>
            </w:r>
          </w:p>
        </w:tc>
        <w:tc>
          <w:tcPr>
            <w:tcW w:type="dxa" w:w="4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Q(d_min/(2σ)) × (K−1)</w:t>
            </w:r>
          </w:p>
        </w:tc>
      </w:tr>
      <w:tr>
        <w:trPr>
          <w:tblHeader w:val="false"/>
        </w:trPr>
        <w:tc>
          <w:tcPr>
            <w:tcW w:type="dxa" w:w="3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Bhattacharyya union bound</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5.3×10^{−5}</w:t>
            </w:r>
          </w:p>
        </w:tc>
        <w:tc>
          <w:tcPr>
            <w:tcW w:type="dxa" w:w="4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(1/2)ΣB(P_i,P_j) over all pairs</w:t>
            </w:r>
          </w:p>
        </w:tc>
      </w:tr>
      <w:tr>
        <w:trPr>
          <w:tblHeader w:val="false"/>
        </w:trPr>
        <w:tc>
          <w:tcPr>
            <w:tcW w:type="dxa" w:w="3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KL range</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37.9–159.3 nats</w:t>
            </w:r>
          </w:p>
        </w:tc>
        <w:tc>
          <w:tcPr>
            <w:tcW w:type="dxa" w:w="4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D_KL(P_i||P_j) = d_G^2/2</w:t>
            </w:r>
          </w:p>
        </w:tc>
      </w:tr>
      <w:tr>
        <w:trPr>
          <w:tblHeader w:val="false"/>
        </w:trPr>
        <w:tc>
          <w:tcPr>
            <w:tcW w:type="dxa" w:w="3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Sphere packing density</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ρ = 1.24×10^{−39}</w:t>
            </w:r>
          </w:p>
        </w:tc>
        <w:tc>
          <w:tcPr>
            <w:tcW w:type="dxa" w:w="4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K balls of radius d_min/2 in d=128</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7A4A" w:sz="1"/>
              <w:left w:val="single" w:color="2A7A4A" w:sz="1"/>
              <w:bottom w:val="single" w:color="2A7A4A" w:sz="1"/>
              <w:right w:val="single" w:color="2A7A4A" w:sz="1"/>
            </w:tcBorders>
            <w:shd w:fill="E8F5EC" w:val="clear"/>
            <w:tcMar>
              <w:top w:type="dxa" w:w="140"/>
              <w:left w:type="dxa" w:w="260"/>
              <w:bottom w:type="dxa" w:w="140"/>
              <w:right w:type="dxa" w:w="260"/>
            </w:tcMar>
          </w:tcPr>
          <w:p>
            <w:pPr>
              <w:spacing w:before="0" w:after="60"/>
            </w:pPr>
            <w:r>
              <w:rPr>
                <w:rFonts w:ascii="Arial" w:cs="Arial" w:eastAsia="Arial" w:hAnsi="Arial"/>
                <w:b/>
                <w:bCs/>
                <w:color w:val="0A2E1A"/>
                <w:sz w:val="19"/>
                <w:szCs w:val="19"/>
              </w:rPr>
              <w:t xml:space="preserve">P_e ≤ 2.0×10⁻²⁶⁹ (nearest-neighbour bound). d_min/σ = 70.2: the noise scale is 70× smaller than the minimum class separation.</w:t>
            </w:r>
          </w:p>
          <w:p>
            <w:pPr>
              <w:spacing w:before="60" w:after="100"/>
              <w:jc w:val="both"/>
            </w:pPr>
            <w:r>
              <w:rPr>
                <w:rFonts w:ascii="Georgia" w:cs="Georgia" w:eastAsia="Georgia" w:hAnsi="Georgia"/>
                <w:b/>
                <w:bCs/>
                <w:color w:val="1A1A1A"/>
                <w:sz w:val="20"/>
                <w:szCs w:val="20"/>
              </w:rPr>
              <w:t xml:space="preserve">The nearest-neighbour bound P_e ≤ (K−1)·Q(d_min/(2σ)) = 9·Q(35.1) = 2.0×10⁻²⁶⁹ is extraordinarily tight. </w:t>
            </w:r>
            <w:r>
              <w:rPr>
                <w:rFonts w:ascii="Georgia" w:cs="Georgia" w:eastAsia="Georgia" w:hAnsi="Georgia"/>
                <w:color w:val="1A1A1A"/>
                <w:sz w:val="20"/>
                <w:szCs w:val="20"/>
              </w:rPr>
              <w:t xml:space="preserve">The Q-function argument d_min/(2σ) = 8.706/(2×0.124) = 35.1 means the closest class boundary is 35 standard deviations from the nearest class centroid. By comparison, a 3σ separation gives P_e ≈ 0.0013, and 10σ gives P_e ≈ 10⁻²³. At 35σ the probability is essentially zero — this is the geometric reason for perfect test accuracy.</w:t>
            </w:r>
          </w:p>
          <w:p>
            <w:pPr>
              <w:spacing w:before="60" w:after="100"/>
              <w:jc w:val="both"/>
            </w:pPr>
            <w:r>
              <w:rPr>
                <w:rFonts w:ascii="Georgia" w:cs="Georgia" w:eastAsia="Georgia" w:hAnsi="Georgia"/>
                <w:b/>
                <w:bCs/>
                <w:color w:val="1A1A1A"/>
                <w:sz w:val="20"/>
                <w:szCs w:val="20"/>
              </w:rPr>
              <w:t xml:space="preserve">Coding gain Γ = −6.62 dB: the constellation is not power-efficient. </w:t>
            </w:r>
            <w:r>
              <w:rPr>
                <w:rFonts w:ascii="Georgia" w:cs="Georgia" w:eastAsia="Georgia" w:hAnsi="Georgia"/>
                <w:color w:val="1A1A1A"/>
                <w:sz w:val="20"/>
                <w:szCs w:val="20"/>
              </w:rPr>
              <w:t xml:space="preserve">Negative coding gain (below 0 dB) means the constellation uses more average energy E̅ per codeword than would be needed by an optimal equal-energy code. The class means are not uniformly spread over a sphere; they are clustered (binary classes close together, network classes spread out). An optimal constellation for the same minimum distance d_min and energy E̅ would achieve 0 dB or higher coding gain. The −6.62 dB shortfall quantifies the ‘inefficiency’ of the constellation — though this is irrelevant for classification performance, since the noise is 70× smaller than d_min regardless.</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2E1A"/>
          <w:sz w:val="30"/>
          <w:szCs w:val="30"/>
        </w:rPr>
        <w:t xml:space="preserve">7. Bhattacharyya Coefficients and Union Bound</w:t>
      </w:r>
    </w:p>
    <w:p>
      <w:pPr>
        <w:spacing w:before="60" w:after="100"/>
        <w:jc w:val="both"/>
      </w:pPr>
      <w:r>
        <w:rPr>
          <w:rFonts w:ascii="Georgia" w:cs="Georgia" w:eastAsia="Georgia" w:hAnsi="Georgia"/>
          <w:color w:val="1A1A1A"/>
          <w:sz w:val="20"/>
          <w:szCs w:val="20"/>
        </w:rPr>
        <w:t xml:space="preserve">The Bhattacharyya coefficient B(P_i, P_j) = exp(−C_h(P_i,P_j)) is the affinity between distributions P_i and P_j, related to the squared Hellinger distance. It gives an upper bound on the error probability: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7A4A" w:sz="1"/>
              <w:left w:val="single" w:color="2A7A4A" w:sz="1"/>
              <w:bottom w:val="single" w:color="2A7A4A" w:sz="1"/>
              <w:right w:val="single" w:color="2A7A4A" w:sz="1"/>
            </w:tcBorders>
            <w:shd w:fill="040E08" w:val="clear"/>
            <w:tcMar>
              <w:top w:type="dxa" w:w="120"/>
              <w:left w:type="dxa" w:w="220"/>
              <w:bottom w:type="dxa" w:w="120"/>
              <w:right w:type="dxa" w:w="220"/>
            </w:tcMar>
          </w:tcPr>
          <w:p>
            <w:pPr>
              <w:spacing w:before="14" w:after="14"/>
            </w:pPr>
            <w:r>
              <w:rPr>
                <w:rFonts w:ascii="Courier New" w:cs="Courier New" w:eastAsia="Courier New" w:hAnsi="Courier New"/>
                <w:color w:val="80C89A"/>
                <w:sz w:val="17"/>
                <w:szCs w:val="17"/>
              </w:rPr>
              <w:t xml:space="preserve">B(P_i, P_j) = exp(-C_h) = exp(-(1/8)||μ_i - μ_j||^2_G)</w:t>
            </w:r>
          </w:p>
          <w:p>
            <w:pPr>
              <w:spacing w:before="14" w:after="14"/>
            </w:pPr>
            <w:r>
              <w:rPr>
                <w:rFonts w:ascii="Courier New" w:cs="Courier New" w:eastAsia="Courier New" w:hAnsi="Courier New"/>
                <w:color w:val="80C89A"/>
                <w:sz w:val="17"/>
                <w:szCs w:val="17"/>
              </w:rPr>
              <w:t xml:space="preserve"/>
            </w:r>
          </w:p>
          <w:p>
            <w:pPr>
              <w:spacing w:before="14" w:after="14"/>
            </w:pPr>
            <w:r>
              <w:rPr>
                <w:rFonts w:ascii="Courier New" w:cs="Courier New" w:eastAsia="Courier New" w:hAnsi="Courier New"/>
                <w:color w:val="80C89A"/>
                <w:sz w:val="17"/>
                <w:szCs w:val="17"/>
              </w:rPr>
              <w:t xml:space="preserve">Union bound: P_e ≤ (1/2) Σ_{i≠j} B(P_i, P_j) = 5.34×10^{-5}</w:t>
            </w:r>
          </w:p>
          <w:p>
            <w:pPr>
              <w:spacing w:before="14" w:after="14"/>
            </w:pPr>
            <w:r>
              <w:rPr>
                <w:rFonts w:ascii="Courier New" w:cs="Courier New" w:eastAsia="Courier New" w:hAnsi="Courier New"/>
                <w:color w:val="80C89A"/>
                <w:sz w:val="17"/>
                <w:szCs w:val="17"/>
              </w:rPr>
              <w:t xml:space="preserve"/>
            </w:r>
          </w:p>
          <w:p>
            <w:pPr>
              <w:spacing w:before="14" w:after="14"/>
            </w:pPr>
            <w:r>
              <w:rPr>
                <w:rFonts w:ascii="Courier New" w:cs="Courier New" w:eastAsia="Courier New" w:hAnsi="Courier New"/>
                <w:color w:val="80C89A"/>
                <w:sz w:val="17"/>
                <w:szCs w:val="17"/>
              </w:rPr>
              <w:t xml:space="preserve">B range: [5.10×10^{-18} (net_c2↔bin_malware), 7.68×10^{-5} (bin_malware↔bin_benign)]</w:t>
            </w:r>
          </w:p>
        </w:tc>
      </w:tr>
    </w:tbl>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800"/>
        <w:gridCol w:w="3200"/>
      </w:tblGrid>
      <w:tr>
        <w:trPr>
          <w:tblHeader/>
        </w:trPr>
        <w:tc>
          <w:tcPr>
            <w:tcW w:type="dxa" w:w="22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30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Bhattacharyya bound P_e(k)</w:t>
            </w:r>
          </w:p>
        </w:tc>
        <w:tc>
          <w:tcPr>
            <w:tcW w:type="dxa" w:w="28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Dominant pair</w:t>
            </w:r>
          </w:p>
        </w:tc>
        <w:tc>
          <w:tcPr>
            <w:tcW w:type="dxa" w:w="32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3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7.68×10^{−5}</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 pair dominates</w:t>
            </w:r>
          </w:p>
        </w:tc>
        <w:tc>
          <w:tcPr>
            <w:tcW w:type="dxa" w:w="3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Closest to bin_malware</w:t>
            </w:r>
          </w:p>
        </w:tc>
      </w:tr>
      <w:tr>
        <w:trPr>
          <w:tblHeader w:val="false"/>
        </w:trPr>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3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7.68×10^{−5}</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 pair dominates</w:t>
            </w:r>
          </w:p>
        </w:tc>
        <w:tc>
          <w:tcPr>
            <w:tcW w:type="dxa" w:w="3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Closest to bin_benign</w:t>
            </w:r>
          </w:p>
        </w:tc>
      </w:tr>
      <w:tr>
        <w:trPr>
          <w:tblHeader w:val="false"/>
        </w:trPr>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3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2.05×10^{−5}</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 pair</w:t>
            </w:r>
          </w:p>
        </w:tc>
        <w:tc>
          <w:tcPr>
            <w:tcW w:type="dxa" w:w="3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Similar log format</w:t>
            </w:r>
          </w:p>
        </w:tc>
      </w:tr>
      <w:tr>
        <w:trPr>
          <w:tblHeader w:val="false"/>
        </w:trPr>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3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2.52×10^{−5}</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 pair</w:t>
            </w:r>
          </w:p>
        </w:tc>
        <w:tc>
          <w:tcPr>
            <w:tcW w:type="dxa" w:w="3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Similar log format</w:t>
            </w:r>
          </w:p>
        </w:tc>
      </w:tr>
      <w:tr>
        <w:trPr>
          <w:tblHeader w:val="false"/>
        </w:trPr>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3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8.30×10^{−6}</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 pair</w:t>
            </w:r>
          </w:p>
        </w:tc>
        <w:tc>
          <w:tcPr>
            <w:tcW w:type="dxa" w:w="3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3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5.39×10^{−6}</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Multiple pairs</w:t>
            </w:r>
          </w:p>
        </w:tc>
        <w:tc>
          <w:tcPr>
            <w:tcW w:type="dxa" w:w="3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Most central class</w:t>
            </w:r>
          </w:p>
        </w:tc>
      </w:tr>
      <w:tr>
        <w:trPr>
          <w:tblHeader w:val="false"/>
        </w:trPr>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w:t>
            </w:r>
          </w:p>
        </w:tc>
        <w:tc>
          <w:tcPr>
            <w:tcW w:type="dxa" w:w="3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2.39×10^{−7}</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 pair</w:t>
            </w:r>
          </w:p>
        </w:tc>
        <w:tc>
          <w:tcPr>
            <w:tcW w:type="dxa" w:w="3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Extreme separation</w:t>
            </w:r>
          </w:p>
        </w:tc>
      </w:tr>
      <w:tr>
        <w:trPr>
          <w:tblHeader w:val="false"/>
        </w:trPr>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3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5.03×10^{−9}</w:t>
            </w:r>
          </w:p>
        </w:tc>
        <w:tc>
          <w:tcPr>
            <w:tcW w:type="dxa" w:w="28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all pairs large</w:t>
            </w:r>
          </w:p>
        </w:tc>
        <w:tc>
          <w:tcPr>
            <w:tcW w:type="dxa" w:w="3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Most isolated class</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The binary classes dominate the Bhattacharyya union bound (7.68×10⁻⁵ each). </w:t>
      </w:r>
      <w:r>
        <w:rPr>
          <w:rFonts w:ascii="Georgia" w:cs="Georgia" w:eastAsia="Georgia" w:hAnsi="Georgia"/>
          <w:color w:val="1A1A1A"/>
          <w:sz w:val="20"/>
          <w:szCs w:val="20"/>
        </w:rPr>
        <w:t xml:space="preserve">This reflects their smaller mutual distance d_G = 8.71 relative to the average 13.71. Even so, 7.68×10⁻⁵ is a rigorous and very tight bound: the classifier would make one mistake per 13,000 samples in the worst case, and the actual error rate on 5,000 test samples is zero. The Bhattacharyya bound is tighter than the nearest-neighbour bound (2×10⁻²⁶⁹) by 264 orders of magnitude — this is because the union bound sums over all K(K−1)/2 = 45 pairs, while the nearest-neighbour bound only uses the closest pair.</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2E1A"/>
          <w:sz w:val="30"/>
          <w:szCs w:val="30"/>
        </w:rPr>
        <w:t xml:space="preserve">8. Code Rate and Spectral Efficiency</w:t>
      </w:r>
    </w:p>
    <w:p>
      <w:pPr>
        <w:pStyle w:val="Heading2"/>
        <w:spacing w:before="280" w:after="120"/>
      </w:pPr>
      <w:r>
        <w:rPr>
          <w:rFonts w:ascii="Arial" w:cs="Arial" w:eastAsia="Arial" w:hAnsi="Arial"/>
          <w:b/>
          <w:bCs/>
          <w:color w:val="1A6B3A"/>
          <w:sz w:val="25"/>
          <w:szCs w:val="25"/>
        </w:rPr>
        <w:t xml:space="preserve">8.1 Code Parameters</w:t>
      </w:r>
    </w:p>
    <w:p>
      <w:pPr>
        <w:spacing w:before="60" w:after="100"/>
        <w:jc w:val="both"/>
      </w:pPr>
      <w:r>
        <w:rPr>
          <w:rFonts w:ascii="Georgia" w:cs="Georgia" w:eastAsia="Georgia" w:hAnsi="Georgia"/>
          <w:color w:val="1A1A1A"/>
          <w:sz w:val="20"/>
          <w:szCs w:val="20"/>
        </w:rPr>
        <w:t xml:space="preserve">Treating the K=10 class means as codewords in the 128-dimensional Fisher metric space, the code parameters are: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7A4A" w:sz="1"/>
              <w:left w:val="single" w:color="2A7A4A" w:sz="1"/>
              <w:bottom w:val="single" w:color="2A7A4A" w:sz="1"/>
              <w:right w:val="single" w:color="2A7A4A" w:sz="1"/>
            </w:tcBorders>
            <w:shd w:fill="040E08" w:val="clear"/>
            <w:tcMar>
              <w:top w:type="dxa" w:w="120"/>
              <w:left w:type="dxa" w:w="220"/>
              <w:bottom w:type="dxa" w:w="120"/>
              <w:right w:type="dxa" w:w="220"/>
            </w:tcMar>
          </w:tcPr>
          <w:p>
            <w:pPr>
              <w:spacing w:before="14" w:after="14"/>
            </w:pPr>
            <w:r>
              <w:rPr>
                <w:rFonts w:ascii="Courier New" w:cs="Courier New" w:eastAsia="Courier New" w:hAnsi="Courier New"/>
                <w:color w:val="80C89A"/>
                <w:sz w:val="17"/>
                <w:szCs w:val="17"/>
              </w:rPr>
              <w:t xml:space="preserve">Code C: [n=128, K=10 codewords, d_min=8.71, d_max=17.85]</w:t>
            </w:r>
          </w:p>
          <w:p>
            <w:pPr>
              <w:spacing w:before="14" w:after="14"/>
            </w:pPr>
            <w:r>
              <w:rPr>
                <w:rFonts w:ascii="Courier New" w:cs="Courier New" w:eastAsia="Courier New" w:hAnsi="Courier New"/>
                <w:color w:val="80C89A"/>
                <w:sz w:val="17"/>
                <w:szCs w:val="17"/>
              </w:rPr>
              <w:t xml:space="preserve"/>
            </w:r>
          </w:p>
          <w:p>
            <w:pPr>
              <w:spacing w:before="14" w:after="14"/>
            </w:pPr>
            <w:r>
              <w:rPr>
                <w:rFonts w:ascii="Courier New" w:cs="Courier New" w:eastAsia="Courier New" w:hAnsi="Courier New"/>
                <w:color w:val="80C89A"/>
                <w:sz w:val="17"/>
                <w:szCs w:val="17"/>
              </w:rPr>
              <w:t xml:space="preserve">Code rate:        R = log₂(K)/n = log₂(10)/128 = 0.02595 bits/dimension</w:t>
            </w:r>
          </w:p>
          <w:p>
            <w:pPr>
              <w:spacing w:before="14" w:after="14"/>
            </w:pPr>
            <w:r>
              <w:rPr>
                <w:rFonts w:ascii="Courier New" w:cs="Courier New" w:eastAsia="Courier New" w:hAnsi="Courier New"/>
                <w:color w:val="80C89A"/>
                <w:sz w:val="17"/>
                <w:szCs w:val="17"/>
              </w:rPr>
              <w:t xml:space="preserve">Shannon limit:    C_Shannon/n = 84.07/128 = 0.6568 bits/dimension  (uniform power)</w:t>
            </w:r>
          </w:p>
          <w:p>
            <w:pPr>
              <w:spacing w:before="14" w:after="14"/>
            </w:pPr>
            <w:r>
              <w:rPr>
                <w:rFonts w:ascii="Courier New" w:cs="Courier New" w:eastAsia="Courier New" w:hAnsi="Courier New"/>
                <w:color w:val="80C89A"/>
                <w:sz w:val="17"/>
                <w:szCs w:val="17"/>
              </w:rPr>
              <w:t xml:space="preserve">Capacity margin:  C/n - R = 0.6568 - 0.0260 = 0.6309 bits/dimension</w:t>
            </w:r>
          </w:p>
          <w:p>
            <w:pPr>
              <w:spacing w:before="14" w:after="14"/>
            </w:pPr>
            <w:r>
              <w:rPr>
                <w:rFonts w:ascii="Courier New" w:cs="Courier New" w:eastAsia="Courier New" w:hAnsi="Courier New"/>
                <w:color w:val="80C89A"/>
                <w:sz w:val="17"/>
                <w:szCs w:val="17"/>
              </w:rPr>
              <w:t xml:space="preserve">Spectral efficiency: η = R/(C/n) = 3.95%</w:t>
            </w:r>
          </w:p>
          <w:p>
            <w:pPr>
              <w:spacing w:before="14" w:after="14"/>
            </w:pPr>
            <w:r>
              <w:rPr>
                <w:rFonts w:ascii="Courier New" w:cs="Courier New" w:eastAsia="Courier New" w:hAnsi="Courier New"/>
                <w:color w:val="80C89A"/>
                <w:sz w:val="17"/>
                <w:szCs w:val="17"/>
              </w:rPr>
              <w:t xml:space="preserve">Bandwidth expansion: n/log₂(K) = 128/3.322 = 38.5×</w:t>
            </w:r>
          </w:p>
        </w:tc>
      </w:tr>
    </w:tbl>
    <w:p>
      <w:pPr>
        <w:pStyle w:val="Heading2"/>
        <w:spacing w:before="280" w:after="120"/>
      </w:pPr>
      <w:r>
        <w:rPr>
          <w:rFonts w:ascii="Arial" w:cs="Arial" w:eastAsia="Arial" w:hAnsi="Arial"/>
          <w:b/>
          <w:bCs/>
          <w:color w:val="1A6B3A"/>
          <w:sz w:val="25"/>
          <w:szCs w:val="25"/>
        </w:rPr>
        <w:t xml:space="preserve">8.2 KL Divergence Between Classes</w:t>
      </w:r>
    </w:p>
    <w:p>
      <w:pPr>
        <w:spacing w:before="60" w:after="100"/>
        <w:jc w:val="both"/>
      </w:pPr>
      <w:r>
        <w:rPr>
          <w:rFonts w:ascii="Georgia" w:cs="Georgia" w:eastAsia="Georgia" w:hAnsi="Georgia"/>
          <w:color w:val="1A1A1A"/>
          <w:sz w:val="20"/>
          <w:szCs w:val="20"/>
        </w:rPr>
        <w:t xml:space="preserve">For equal-covariance Gaussians N(μ_i, v₀) and N(μ_j, v₀), the KL divergence 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7A4A" w:sz="1"/>
              <w:left w:val="single" w:color="2A7A4A" w:sz="1"/>
              <w:bottom w:val="single" w:color="2A7A4A" w:sz="1"/>
              <w:right w:val="single" w:color="2A7A4A" w:sz="1"/>
            </w:tcBorders>
            <w:shd w:fill="040E08" w:val="clear"/>
            <w:tcMar>
              <w:top w:type="dxa" w:w="120"/>
              <w:left w:type="dxa" w:w="220"/>
              <w:bottom w:type="dxa" w:w="120"/>
              <w:right w:type="dxa" w:w="220"/>
            </w:tcMar>
          </w:tcPr>
          <w:p>
            <w:pPr>
              <w:spacing w:before="14" w:after="14"/>
            </w:pPr>
            <w:r>
              <w:rPr>
                <w:rFonts w:ascii="Courier New" w:cs="Courier New" w:eastAsia="Courier New" w:hAnsi="Courier New"/>
                <w:color w:val="80C89A"/>
                <w:sz w:val="17"/>
                <w:szCs w:val="17"/>
              </w:rPr>
              <w:t xml:space="preserve">D_KL(P_i || P_j) = (1/2) ||μ_i - μ_j||^2_G = (1/2) d_G(i,j)^2</w:t>
            </w:r>
          </w:p>
          <w:p>
            <w:pPr>
              <w:spacing w:before="14" w:after="14"/>
            </w:pPr>
            <w:r>
              <w:rPr>
                <w:rFonts w:ascii="Courier New" w:cs="Courier New" w:eastAsia="Courier New" w:hAnsi="Courier New"/>
                <w:color w:val="80C89A"/>
                <w:sz w:val="17"/>
                <w:szCs w:val="17"/>
              </w:rPr>
              <w:t xml:space="preserve"/>
            </w:r>
          </w:p>
          <w:p>
            <w:pPr>
              <w:spacing w:before="14" w:after="14"/>
            </w:pPr>
            <w:r>
              <w:rPr>
                <w:rFonts w:ascii="Courier New" w:cs="Courier New" w:eastAsia="Courier New" w:hAnsi="Courier New"/>
                <w:color w:val="80C89A"/>
                <w:sz w:val="17"/>
                <w:szCs w:val="17"/>
              </w:rPr>
              <w:t xml:space="preserve">KL range: [37.9 (bin_malware↔bin_benign), 159.3 (net_c2↔bin_malware)] nats</w:t>
            </w:r>
          </w:p>
          <w:p>
            <w:pPr>
              <w:spacing w:before="14" w:after="14"/>
            </w:pPr>
            <w:r>
              <w:rPr>
                <w:rFonts w:ascii="Courier New" w:cs="Courier New" w:eastAsia="Courier New" w:hAnsi="Courier New"/>
                <w:color w:val="80C89A"/>
                <w:sz w:val="17"/>
                <w:szCs w:val="17"/>
              </w:rPr>
              <w:t xml:space="preserve">KL mean:  96.5 nats</w:t>
            </w:r>
          </w:p>
          <w:p>
            <w:pPr>
              <w:spacing w:before="14" w:after="14"/>
            </w:pPr>
            <w:r>
              <w:rPr>
                <w:rFonts w:ascii="Courier New" w:cs="Courier New" w:eastAsia="Courier New" w:hAnsi="Courier New"/>
                <w:color w:val="80C89A"/>
                <w:sz w:val="17"/>
                <w:szCs w:val="17"/>
              </w:rPr>
              <w:t xml:space="preserve"/>
            </w:r>
          </w:p>
          <w:p>
            <w:pPr>
              <w:spacing w:before="14" w:after="14"/>
            </w:pPr>
            <w:r>
              <w:rPr>
                <w:rFonts w:ascii="Courier New" w:cs="Courier New" w:eastAsia="Courier New" w:hAnsi="Courier New"/>
                <w:color w:val="80C89A"/>
                <w:sz w:val="17"/>
                <w:szCs w:val="17"/>
              </w:rPr>
              <w:t xml:space="preserve">Selected KL divergences:</w:t>
            </w:r>
          </w:p>
          <w:p>
            <w:pPr>
              <w:spacing w:before="14" w:after="14"/>
            </w:pPr>
            <w:r>
              <w:rPr>
                <w:rFonts w:ascii="Courier New" w:cs="Courier New" w:eastAsia="Courier New" w:hAnsi="Courier New"/>
                <w:color w:val="80C89A"/>
                <w:sz w:val="17"/>
                <w:szCs w:val="17"/>
              </w:rPr>
              <w:t xml:space="preserve">  bin_malware ↔ bin_benign: D_KL = 37.9 nats  = 54.7 bits  (hardest pair)</w:t>
            </w:r>
          </w:p>
          <w:p>
            <w:pPr>
              <w:spacing w:before="14" w:after="14"/>
            </w:pPr>
            <w:r>
              <w:rPr>
                <w:rFonts w:ascii="Courier New" w:cs="Courier New" w:eastAsia="Courier New" w:hAnsi="Courier New"/>
                <w:color w:val="80C89A"/>
                <w:sz w:val="17"/>
                <w:szCs w:val="17"/>
              </w:rPr>
              <w:t xml:space="preserve">  log_warn ↔ log_error:    D_KL = 44.1 nats  = 63.6 bits</w:t>
            </w:r>
          </w:p>
          <w:p>
            <w:pPr>
              <w:spacing w:before="14" w:after="14"/>
            </w:pPr>
            <w:r>
              <w:rPr>
                <w:rFonts w:ascii="Courier New" w:cs="Courier New" w:eastAsia="Courier New" w:hAnsi="Courier New"/>
                <w:color w:val="80C89A"/>
                <w:sz w:val="17"/>
                <w:szCs w:val="17"/>
              </w:rPr>
              <w:t xml:space="preserve">  net_c2 ↔ bin_malware:   D_KL = 159.3 nats = 229.8 bits  (easiest pair)</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7A4A" w:sz="1"/>
              <w:left w:val="single" w:color="2A7A4A" w:sz="1"/>
              <w:bottom w:val="single" w:color="2A7A4A" w:sz="1"/>
              <w:right w:val="single" w:color="2A7A4A" w:sz="1"/>
            </w:tcBorders>
            <w:shd w:fill="E8F5EC" w:val="clear"/>
            <w:tcMar>
              <w:top w:type="dxa" w:w="140"/>
              <w:left w:type="dxa" w:w="260"/>
              <w:bottom w:type="dxa" w:w="140"/>
              <w:right w:type="dxa" w:w="260"/>
            </w:tcMar>
          </w:tcPr>
          <w:p>
            <w:pPr>
              <w:spacing w:before="0" w:after="60"/>
            </w:pPr>
            <w:r>
              <w:rPr>
                <w:rFonts w:ascii="Arial" w:cs="Arial" w:eastAsia="Arial" w:hAnsi="Arial"/>
                <w:b/>
                <w:bCs/>
                <w:color w:val="0A2E1A"/>
                <w:sz w:val="19"/>
                <w:szCs w:val="19"/>
              </w:rPr>
              <w:t xml:space="preserve">Spectral efficiency η = 3.95%: the K=10 class constellation uses only 3.95% of the channel’s information-carrying capacity.</w:t>
            </w:r>
          </w:p>
          <w:p>
            <w:pPr>
              <w:spacing w:before="60" w:after="100"/>
              <w:jc w:val="both"/>
            </w:pPr>
            <w:r>
              <w:rPr>
                <w:rFonts w:ascii="Georgia" w:cs="Georgia" w:eastAsia="Georgia" w:hAnsi="Georgia"/>
                <w:b/>
                <w:bCs/>
                <w:color w:val="1A1A1A"/>
                <w:sz w:val="20"/>
                <w:szCs w:val="20"/>
              </w:rPr>
              <w:t xml:space="preserve">The 3.95% spectral efficiency reflects a deliberate design choice: a high-dimensional encoder (d=128) for a low-rate classification task (K=10). </w:t>
            </w:r>
            <w:r>
              <w:rPr>
                <w:rFonts w:ascii="Georgia" w:cs="Georgia" w:eastAsia="Georgia" w:hAnsi="Georgia"/>
                <w:color w:val="1A1A1A"/>
                <w:sz w:val="20"/>
                <w:szCs w:val="20"/>
              </w:rPr>
              <w:t xml:space="preserve">The 38.5× bandwidth expansion (128 dimensions for log₂(10) = 3.32 bits) enables the enormous noise margin (d_min/σ = 70.2) and near-zero error rates. This is analogous to spread-spectrum communication: more bandwidth in exchange for robustness. The 96.1% capacity left unused represents the ‘overhead’ that ensures robustness.</w:t>
            </w:r>
          </w:p>
          <w:p>
            <w:pPr>
              <w:spacing w:before="60" w:after="100"/>
              <w:jc w:val="both"/>
            </w:pPr>
            <w:r>
              <w:rPr>
                <w:rFonts w:ascii="Georgia" w:cs="Georgia" w:eastAsia="Georgia" w:hAnsi="Georgia"/>
                <w:b/>
                <w:bCs/>
                <w:color w:val="1A1A1A"/>
                <w:sz w:val="20"/>
                <w:szCs w:val="20"/>
              </w:rPr>
              <w:t xml:space="preserve">KL divergences (37.9–159.3 nats) are the information-theoretic distances between class distributions. </w:t>
            </w:r>
            <w:r>
              <w:rPr>
                <w:rFonts w:ascii="Georgia" w:cs="Georgia" w:eastAsia="Georgia" w:hAnsi="Georgia"/>
                <w:color w:val="1A1A1A"/>
                <w:sz w:val="20"/>
                <w:szCs w:val="20"/>
              </w:rPr>
              <w:t xml:space="preserve">The minimum KL = 37.9 nats (bin_malware↔bin_benign) = D_KL/log(2) = 54.7 bits quantifies how many bits of evidence a perfect observer needs to distinguish these classes. Since 37.9 nats &gt;&gt; 1 nat (the threshold for Neyman-Pearson reliable discrimination), all pairs are reliably distinguishable. The minimum KL is 4× the Chernoff information (C_h = 9.47), consistent with the relation D_KL = 4C_h for symmetric Gaussian pairs.</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2E1A"/>
          <w:sz w:val="30"/>
          <w:szCs w:val="30"/>
        </w:rPr>
        <w:t xml:space="preserve">9. Encoder as Generator Matrix of a Linear Code</w:t>
      </w:r>
    </w:p>
    <w:p>
      <w:pPr>
        <w:spacing w:before="60" w:after="100"/>
        <w:jc w:val="both"/>
      </w:pPr>
      <w:r>
        <w:rPr>
          <w:rFonts w:ascii="Georgia" w:cs="Georgia" w:eastAsia="Georgia" w:hAnsi="Georgia"/>
          <w:color w:val="1A1A1A"/>
          <w:sz w:val="20"/>
          <w:szCs w:val="20"/>
        </w:rPr>
        <w:t xml:space="preserve">The encoder W ∈ GL(128) can be interpreted as the generator matrix of a rate-1 linear code. The encoded space {h = Wf : f ∈ ℝ^d} is all of ℝ^d (since W is full rank), but the K class means within this space define a structured K-point code.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7A4A" w:sz="1"/>
              <w:left w:val="single" w:color="2A7A4A" w:sz="1"/>
              <w:bottom w:val="single" w:color="2A7A4A" w:sz="1"/>
              <w:right w:val="single" w:color="2A7A4A" w:sz="1"/>
            </w:tcBorders>
            <w:shd w:fill="040E08" w:val="clear"/>
            <w:tcMar>
              <w:top w:type="dxa" w:w="120"/>
              <w:left w:type="dxa" w:w="220"/>
              <w:bottom w:type="dxa" w:w="120"/>
              <w:right w:type="dxa" w:w="220"/>
            </w:tcMar>
          </w:tcPr>
          <w:p>
            <w:pPr>
              <w:spacing w:before="14" w:after="14"/>
            </w:pPr>
            <w:r>
              <w:rPr>
                <w:rFonts w:ascii="Courier New" w:cs="Courier New" w:eastAsia="Courier New" w:hAnsi="Courier New"/>
                <w:color w:val="80C89A"/>
                <w:sz w:val="17"/>
                <w:szCs w:val="17"/>
              </w:rPr>
              <w:t xml:space="preserve">Generator matrix: W ∈ ℝ^{128×128}</w:t>
            </w:r>
          </w:p>
          <w:p>
            <w:pPr>
              <w:spacing w:before="14" w:after="14"/>
            </w:pPr>
            <w:r>
              <w:rPr>
                <w:rFonts w:ascii="Courier New" w:cs="Courier New" w:eastAsia="Courier New" w:hAnsi="Courier New"/>
                <w:color w:val="80C89A"/>
                <w:sz w:val="17"/>
                <w:szCs w:val="17"/>
              </w:rPr>
              <w:t xml:space="preserve">Rank(W) = 128  (full rank: invertible, det(W) ≠ 0)</w:t>
            </w:r>
          </w:p>
          <w:p>
            <w:pPr>
              <w:spacing w:before="14" w:after="14"/>
            </w:pPr>
            <w:r>
              <w:rPr>
                <w:rFonts w:ascii="Courier New" w:cs="Courier New" w:eastAsia="Courier New" w:hAnsi="Courier New"/>
                <w:color w:val="80C89A"/>
                <w:sz w:val="17"/>
                <w:szCs w:val="17"/>
              </w:rPr>
              <w:t xml:space="preserve">Effective rank = 113.82  (RMT spectral estimate)</w:t>
            </w:r>
          </w:p>
          <w:p>
            <w:pPr>
              <w:spacing w:before="14" w:after="14"/>
            </w:pPr>
            <w:r>
              <w:rPr>
                <w:rFonts w:ascii="Courier New" w:cs="Courier New" w:eastAsia="Courier New" w:hAnsi="Courier New"/>
                <w:color w:val="80C89A"/>
                <w:sz w:val="17"/>
                <w:szCs w:val="17"/>
              </w:rPr>
              <w:t xml:space="preserve">Condition number κ(W) = σ_max/σ_min = 1.697/0.128 = 13.27</w:t>
            </w:r>
          </w:p>
          <w:p>
            <w:pPr>
              <w:spacing w:before="14" w:after="14"/>
            </w:pPr>
            <w:r>
              <w:rPr>
                <w:rFonts w:ascii="Courier New" w:cs="Courier New" w:eastAsia="Courier New" w:hAnsi="Courier New"/>
                <w:color w:val="80C89A"/>
                <w:sz w:val="17"/>
                <w:szCs w:val="17"/>
              </w:rPr>
              <w:t xml:space="preserve"/>
            </w:r>
          </w:p>
          <w:p>
            <w:pPr>
              <w:spacing w:before="14" w:after="14"/>
            </w:pPr>
            <w:r>
              <w:rPr>
                <w:rFonts w:ascii="Courier New" w:cs="Courier New" w:eastAsia="Courier New" w:hAnsi="Courier New"/>
                <w:color w:val="80C89A"/>
                <w:sz w:val="17"/>
                <w:szCs w:val="17"/>
              </w:rPr>
              <w:t xml:space="preserve">Parity-check matrix: H = W^{-T}  (maps encoded space to feature space)</w:t>
            </w:r>
          </w:p>
          <w:p>
            <w:pPr>
              <w:spacing w:before="14" w:after="14"/>
            </w:pPr>
            <w:r>
              <w:rPr>
                <w:rFonts w:ascii="Courier New" w:cs="Courier New" w:eastAsia="Courier New" w:hAnsi="Courier New"/>
                <w:color w:val="80C89A"/>
                <w:sz w:val="17"/>
                <w:szCs w:val="17"/>
              </w:rPr>
              <w:t xml:space="preserve">H singular values: σ_max=7.82  σ_min=0.59  κ(H) = 13.27</w:t>
            </w:r>
          </w:p>
          <w:p>
            <w:pPr>
              <w:spacing w:before="14" w:after="14"/>
            </w:pPr>
            <w:r>
              <w:rPr>
                <w:rFonts w:ascii="Courier New" w:cs="Courier New" w:eastAsia="Courier New" w:hAnsi="Courier New"/>
                <w:color w:val="80C89A"/>
                <w:sz w:val="17"/>
                <w:szCs w:val="17"/>
              </w:rPr>
              <w:t xml:space="preserve"/>
            </w:r>
          </w:p>
          <w:p>
            <w:pPr>
              <w:spacing w:before="14" w:after="14"/>
            </w:pPr>
            <w:r>
              <w:rPr>
                <w:rFonts w:ascii="Courier New" w:cs="Courier New" w:eastAsia="Courier New" w:hAnsi="Courier New"/>
                <w:color w:val="80C89A"/>
                <w:sz w:val="17"/>
                <w:szCs w:val="17"/>
              </w:rPr>
              <w:t xml:space="preserve">Effective code: [n=128, K=10, d_min=8.71]  (K-point constellation code)</w:t>
            </w:r>
          </w:p>
        </w:tc>
      </w:tr>
    </w:tbl>
    <w:p>
      <w:pPr>
        <w:spacing w:before="60" w:after="100"/>
        <w:jc w:val="both"/>
      </w:pPr>
      <w:r>
        <w:rPr>
          <w:rFonts w:ascii="Georgia" w:cs="Georgia" w:eastAsia="Georgia" w:hAnsi="Georgia"/>
          <w:b/>
          <w:bCs/>
          <w:color w:val="1A1A1A"/>
          <w:sz w:val="20"/>
          <w:szCs w:val="20"/>
        </w:rPr>
        <w:t xml:space="preserve">The encoder W with full rank 128 implements a rate-1 linear code (no compression). </w:t>
      </w:r>
      <w:r>
        <w:rPr>
          <w:rFonts w:ascii="Georgia" w:cs="Georgia" w:eastAsia="Georgia" w:hAnsi="Georgia"/>
          <w:color w:val="1A1A1A"/>
          <w:sz w:val="20"/>
          <w:szCs w:val="20"/>
        </w:rPr>
        <w:t xml:space="preserve">Every d-dimensional input feature vector f is mapped to a d-dimensional encoded vector h = Wf. The code structure emerges from the K class means in the encoded space: the K codewords {Wf_k^*} (where f_k^* is the ‘canonical’ feature vector for class k) have minimum Fisher-metric distance d_min = 8.71. The linear code structure is exploited by the linear LLR classifier: the weight vectors w_k = δ_k/v₀ are exactly the class-separating hyperplane normals, equivalent to a syndrome decoder.</w:t>
      </w:r>
    </w:p>
    <w:p>
      <w:pPr>
        <w:spacing w:before="60" w:after="100"/>
        <w:jc w:val="both"/>
      </w:pPr>
      <w:r>
        <w:rPr>
          <w:rFonts w:ascii="Georgia" w:cs="Georgia" w:eastAsia="Georgia" w:hAnsi="Georgia"/>
          <w:b/>
          <w:bCs/>
          <w:color w:val="1A1A1A"/>
          <w:sz w:val="20"/>
          <w:szCs w:val="20"/>
        </w:rPr>
        <w:t xml:space="preserve">Dual code and the parity-check matrix. </w:t>
      </w:r>
      <w:r>
        <w:rPr>
          <w:rFonts w:ascii="Georgia" w:cs="Georgia" w:eastAsia="Georgia" w:hAnsi="Georgia"/>
          <w:color w:val="1A1A1A"/>
          <w:sz w:val="20"/>
          <w:szCs w:val="20"/>
        </w:rPr>
        <w:t xml:space="preserve">The parity-check matrix H = W⁻ᵀ has the property that h = Wf satisfies Hh = W⁻ᵀ Wf = (W⁻¹W)ᵀ f = f. The dual code operation is therefore decoding: mapping from the encoded latent space back to the feature space. The MAP classifier implements this via LLR_k(h) = ⟨w_k, h⟩ + b_k, which is a linear syndrome computation: measuring the projection of h onto each class-direction w_k. This is precisely the structure of a minimum-distance decoder (maximum-likelihood decoder for Gaussian noise).</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2E1A"/>
          <w:sz w:val="30"/>
          <w:szCs w:val="30"/>
        </w:rPr>
        <w:t xml:space="preserve">10. Posterior Entropy and the Deep-Certainty Regime</w:t>
      </w:r>
    </w:p>
    <w:p>
      <w:pPr>
        <w:spacing w:before="60" w:after="100"/>
        <w:jc w:val="both"/>
      </w:pPr>
      <w:r>
        <w:rPr>
          <w:rFonts w:ascii="Georgia" w:cs="Georgia" w:eastAsia="Georgia" w:hAnsi="Georgia"/>
          <w:color w:val="1A1A1A"/>
          <w:sz w:val="20"/>
          <w:szCs w:val="20"/>
        </w:rPr>
        <w:t xml:space="preserve">The classifier outputs a posterior distribution P(k|h) via softmax with temperature T=2.5 over the LLR scores. The Shannon entropy H(P(·|h)) measures the uncertainty of the prediction: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7A4A" w:sz="1"/>
              <w:left w:val="single" w:color="2A7A4A" w:sz="1"/>
              <w:bottom w:val="single" w:color="2A7A4A" w:sz="1"/>
              <w:right w:val="single" w:color="2A7A4A" w:sz="1"/>
            </w:tcBorders>
            <w:shd w:fill="040E08" w:val="clear"/>
            <w:tcMar>
              <w:top w:type="dxa" w:w="120"/>
              <w:left w:type="dxa" w:w="220"/>
              <w:bottom w:type="dxa" w:w="120"/>
              <w:right w:type="dxa" w:w="220"/>
            </w:tcMar>
          </w:tcPr>
          <w:p>
            <w:pPr>
              <w:spacing w:before="14" w:after="14"/>
            </w:pPr>
            <w:r>
              <w:rPr>
                <w:rFonts w:ascii="Courier New" w:cs="Courier New" w:eastAsia="Courier New" w:hAnsi="Courier New"/>
                <w:color w:val="80C89A"/>
                <w:sz w:val="17"/>
                <w:szCs w:val="17"/>
              </w:rPr>
              <w:t xml:space="preserve">P(k|h) = exp(LLR_k(h)/T) / Σ_j exp(LLR_j(h)/T)  [T=2.5]</w:t>
            </w:r>
          </w:p>
          <w:p>
            <w:pPr>
              <w:spacing w:before="14" w:after="14"/>
            </w:pPr>
            <w:r>
              <w:rPr>
                <w:rFonts w:ascii="Courier New" w:cs="Courier New" w:eastAsia="Courier New" w:hAnsi="Courier New"/>
                <w:color w:val="80C89A"/>
                <w:sz w:val="17"/>
                <w:szCs w:val="17"/>
              </w:rPr>
              <w:t xml:space="preserve"/>
            </w:r>
          </w:p>
          <w:p>
            <w:pPr>
              <w:spacing w:before="14" w:after="14"/>
            </w:pPr>
            <w:r>
              <w:rPr>
                <w:rFonts w:ascii="Courier New" w:cs="Courier New" w:eastAsia="Courier New" w:hAnsi="Courier New"/>
                <w:color w:val="80C89A"/>
                <w:sz w:val="17"/>
                <w:szCs w:val="17"/>
              </w:rPr>
              <w:t xml:space="preserve">H(P(·|h)) = -Σ_k P(k|h) log P(k|h)</w:t>
            </w:r>
          </w:p>
          <w:p>
            <w:pPr>
              <w:spacing w:before="14" w:after="14"/>
            </w:pPr>
            <w:r>
              <w:rPr>
                <w:rFonts w:ascii="Courier New" w:cs="Courier New" w:eastAsia="Courier New" w:hAnsi="Courier New"/>
                <w:color w:val="80C89A"/>
                <w:sz w:val="17"/>
                <w:szCs w:val="17"/>
              </w:rPr>
              <w:t xml:space="preserve"/>
            </w:r>
          </w:p>
          <w:p>
            <w:pPr>
              <w:spacing w:before="14" w:after="14"/>
            </w:pPr>
            <w:r>
              <w:rPr>
                <w:rFonts w:ascii="Courier New" w:cs="Courier New" w:eastAsia="Courier New" w:hAnsi="Courier New"/>
                <w:color w:val="80C89A"/>
                <w:sz w:val="17"/>
                <w:szCs w:val="17"/>
              </w:rPr>
              <w:t xml:space="preserve">Results (over 1,000 training samples):</w:t>
            </w:r>
          </w:p>
          <w:p>
            <w:pPr>
              <w:spacing w:before="14" w:after="14"/>
            </w:pPr>
            <w:r>
              <w:rPr>
                <w:rFonts w:ascii="Courier New" w:cs="Courier New" w:eastAsia="Courier New" w:hAnsi="Courier New"/>
                <w:color w:val="80C89A"/>
                <w:sz w:val="17"/>
                <w:szCs w:val="17"/>
              </w:rPr>
              <w:t xml:space="preserve">  Mean H = 0.000101 nats  (0.004% of H_max = ln(10) = 2.303 nats)</w:t>
            </w:r>
          </w:p>
          <w:p>
            <w:pPr>
              <w:spacing w:before="14" w:after="14"/>
            </w:pPr>
            <w:r>
              <w:rPr>
                <w:rFonts w:ascii="Courier New" w:cs="Courier New" w:eastAsia="Courier New" w:hAnsi="Courier New"/>
                <w:color w:val="80C89A"/>
                <w:sz w:val="17"/>
                <w:szCs w:val="17"/>
              </w:rPr>
              <w:t xml:space="preserve">  Max  H = 0.0266 nats    (1.16% of H_max; a bin_benign sample)</w:t>
            </w:r>
          </w:p>
          <w:p>
            <w:pPr>
              <w:spacing w:before="14" w:after="14"/>
            </w:pPr>
            <w:r>
              <w:rPr>
                <w:rFonts w:ascii="Courier New" w:cs="Courier New" w:eastAsia="Courier New" w:hAnsi="Courier New"/>
                <w:color w:val="80C89A"/>
                <w:sz w:val="17"/>
                <w:szCs w:val="17"/>
              </w:rPr>
              <w:t xml:space="preserve">  Min  H ≈ 0 nats          (essentially zero for most samples)</w:t>
            </w:r>
          </w:p>
          <w:p>
            <w:pPr>
              <w:spacing w:before="14" w:after="14"/>
            </w:pPr>
            <w:r>
              <w:rPr>
                <w:rFonts w:ascii="Courier New" w:cs="Courier New" w:eastAsia="Courier New" w:hAnsi="Courier New"/>
                <w:color w:val="80C89A"/>
                <w:sz w:val="17"/>
                <w:szCs w:val="17"/>
              </w:rPr>
              <w:t xml:space="preserve">  Effective K = exp(⟨H⟩) = 1.0001  (nearly deterministic)</w:t>
            </w:r>
          </w:p>
        </w:tc>
      </w:tr>
    </w:tbl>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600"/>
        <w:gridCol w:w="3000"/>
      </w:tblGrid>
      <w:tr>
        <w:trPr>
          <w:tblHeader/>
        </w:trPr>
        <w:tc>
          <w:tcPr>
            <w:tcW w:type="dxa" w:w="22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26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Mean H [nats]</w:t>
            </w:r>
          </w:p>
        </w:tc>
        <w:tc>
          <w:tcPr>
            <w:tcW w:type="dxa" w:w="24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Max H [nats]</w:t>
            </w:r>
          </w:p>
        </w:tc>
        <w:tc>
          <w:tcPr>
            <w:tcW w:type="dxa" w:w="26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H/H_max [%]</w:t>
            </w:r>
          </w:p>
        </w:tc>
        <w:tc>
          <w:tcPr>
            <w:tcW w:type="dxa" w:w="3000"/>
            <w:tcBorders>
              <w:top w:val="single" w:color="2A7A4A" w:sz="1"/>
              <w:left w:val="single" w:color="2A7A4A" w:sz="1"/>
              <w:bottom w:val="single" w:color="2A7A4A" w:sz="1"/>
              <w:right w:val="single" w:color="2A7A4A" w:sz="1"/>
            </w:tcBorders>
            <w:shd w:fill="0A2E1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Certainty</w:t>
            </w:r>
          </w:p>
        </w:tc>
      </w:tr>
      <w:tr>
        <w:trPr>
          <w:tblHeader w:val="false"/>
        </w:trPr>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2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24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0.000</w:t>
            </w:r>
          </w:p>
        </w:tc>
        <w:tc>
          <w:tcPr>
            <w:tcW w:type="dxa" w:w="2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0.000%</w:t>
            </w:r>
          </w:p>
        </w:tc>
        <w:tc>
          <w:tcPr>
            <w:tcW w:type="dxa" w:w="3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Perfect (rigid PPS format)</w:t>
            </w:r>
          </w:p>
        </w:tc>
      </w:tr>
      <w:tr>
        <w:trPr>
          <w:tblHeader w:val="false"/>
        </w:trPr>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2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24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0.000</w:t>
            </w:r>
          </w:p>
        </w:tc>
        <w:tc>
          <w:tcPr>
            <w:tcW w:type="dxa" w:w="2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0.000%</w:t>
            </w:r>
          </w:p>
        </w:tc>
        <w:tc>
          <w:tcPr>
            <w:tcW w:type="dxa" w:w="3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Perfect</w:t>
            </w:r>
          </w:p>
        </w:tc>
      </w:tr>
      <w:tr>
        <w:trPr>
          <w:tblHeader w:val="false"/>
        </w:trPr>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2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24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0.000</w:t>
            </w:r>
          </w:p>
        </w:tc>
        <w:tc>
          <w:tcPr>
            <w:tcW w:type="dxa" w:w="2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0.000%</w:t>
            </w:r>
          </w:p>
        </w:tc>
        <w:tc>
          <w:tcPr>
            <w:tcW w:type="dxa" w:w="3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Perfect</w:t>
            </w:r>
          </w:p>
        </w:tc>
      </w:tr>
      <w:tr>
        <w:trPr>
          <w:tblHeader w:val="false"/>
        </w:trPr>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2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24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0.000</w:t>
            </w:r>
          </w:p>
        </w:tc>
        <w:tc>
          <w:tcPr>
            <w:tcW w:type="dxa" w:w="2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0.000%</w:t>
            </w:r>
          </w:p>
        </w:tc>
        <w:tc>
          <w:tcPr>
            <w:tcW w:type="dxa" w:w="3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Perfect</w:t>
            </w:r>
          </w:p>
        </w:tc>
      </w:tr>
      <w:tr>
        <w:trPr>
          <w:tblHeader w:val="false"/>
        </w:trPr>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w:t>
            </w:r>
          </w:p>
        </w:tc>
        <w:tc>
          <w:tcPr>
            <w:tcW w:type="dxa" w:w="2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24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0.000</w:t>
            </w:r>
          </w:p>
        </w:tc>
        <w:tc>
          <w:tcPr>
            <w:tcW w:type="dxa" w:w="2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0.000%</w:t>
            </w:r>
          </w:p>
        </w:tc>
        <w:tc>
          <w:tcPr>
            <w:tcW w:type="dxa" w:w="3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Perfect</w:t>
            </w:r>
          </w:p>
        </w:tc>
      </w:tr>
      <w:tr>
        <w:trPr>
          <w:tblHeader w:val="false"/>
        </w:trPr>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2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24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0.000</w:t>
            </w:r>
          </w:p>
        </w:tc>
        <w:tc>
          <w:tcPr>
            <w:tcW w:type="dxa" w:w="2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0.000%</w:t>
            </w:r>
          </w:p>
        </w:tc>
        <w:tc>
          <w:tcPr>
            <w:tcW w:type="dxa" w:w="3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Perfect</w:t>
            </w:r>
          </w:p>
        </w:tc>
      </w:tr>
      <w:tr>
        <w:trPr>
          <w:tblHeader w:val="false"/>
        </w:trPr>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2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24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0.000</w:t>
            </w:r>
          </w:p>
        </w:tc>
        <w:tc>
          <w:tcPr>
            <w:tcW w:type="dxa" w:w="2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0.000%</w:t>
            </w:r>
          </w:p>
        </w:tc>
        <w:tc>
          <w:tcPr>
            <w:tcW w:type="dxa" w:w="3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Perfect</w:t>
            </w:r>
          </w:p>
        </w:tc>
      </w:tr>
      <w:tr>
        <w:trPr>
          <w:tblHeader w:val="false"/>
        </w:trPr>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2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w:t>
            </w:r>
          </w:p>
        </w:tc>
        <w:tc>
          <w:tcPr>
            <w:tcW w:type="dxa" w:w="24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0.002</w:t>
            </w:r>
          </w:p>
        </w:tc>
        <w:tc>
          <w:tcPr>
            <w:tcW w:type="dxa" w:w="2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0.074%</w:t>
            </w:r>
          </w:p>
        </w:tc>
        <w:tc>
          <w:tcPr>
            <w:tcW w:type="dxa" w:w="3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Near-perfect</w:t>
            </w:r>
          </w:p>
        </w:tc>
      </w:tr>
      <w:tr>
        <w:trPr>
          <w:tblHeader w:val="false"/>
        </w:trPr>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2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w:t>
            </w:r>
          </w:p>
        </w:tc>
        <w:tc>
          <w:tcPr>
            <w:tcW w:type="dxa" w:w="24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0.008</w:t>
            </w:r>
          </w:p>
        </w:tc>
        <w:tc>
          <w:tcPr>
            <w:tcW w:type="dxa" w:w="2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0.328%</w:t>
            </w:r>
          </w:p>
        </w:tc>
        <w:tc>
          <w:tcPr>
            <w:tcW w:type="dxa" w:w="3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Near-perfect (URL diversity)</w:t>
            </w:r>
          </w:p>
        </w:tc>
      </w:tr>
      <w:tr>
        <w:trPr>
          <w:tblHeader w:val="false"/>
        </w:trPr>
        <w:tc>
          <w:tcPr>
            <w:tcW w:type="dxa" w:w="22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2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0.001</w:t>
            </w:r>
          </w:p>
        </w:tc>
        <w:tc>
          <w:tcPr>
            <w:tcW w:type="dxa" w:w="24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0.027</w:t>
            </w:r>
          </w:p>
        </w:tc>
        <w:tc>
          <w:tcPr>
            <w:tcW w:type="dxa" w:w="26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1.156%</w:t>
            </w:r>
          </w:p>
        </w:tc>
        <w:tc>
          <w:tcPr>
            <w:tcW w:type="dxa" w:w="3000"/>
            <w:tcBorders>
              <w:top w:val="single" w:color="2A7A4A" w:sz="1"/>
              <w:left w:val="single" w:color="2A7A4A" w:sz="1"/>
              <w:bottom w:val="single" w:color="2A7A4A" w:sz="1"/>
              <w:right w:val="single" w:color="2A7A4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Highest uncertainty (random payload)</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7A4A" w:sz="1"/>
              <w:left w:val="single" w:color="2A7A4A" w:sz="1"/>
              <w:bottom w:val="single" w:color="2A7A4A" w:sz="1"/>
              <w:right w:val="single" w:color="2A7A4A" w:sz="1"/>
            </w:tcBorders>
            <w:shd w:fill="E8F5EC" w:val="clear"/>
            <w:tcMar>
              <w:top w:type="dxa" w:w="140"/>
              <w:left w:type="dxa" w:w="260"/>
              <w:bottom w:type="dxa" w:w="140"/>
              <w:right w:type="dxa" w:w="260"/>
            </w:tcMar>
          </w:tcPr>
          <w:p>
            <w:pPr>
              <w:spacing w:before="0" w:after="60"/>
            </w:pPr>
            <w:r>
              <w:rPr>
                <w:rFonts w:ascii="Arial" w:cs="Arial" w:eastAsia="Arial" w:hAnsi="Arial"/>
                <w:b/>
                <w:bCs/>
                <w:color w:val="0A2E1A"/>
                <w:sz w:val="19"/>
                <w:szCs w:val="19"/>
              </w:rPr>
              <w:t xml:space="preserve">Mean posterior entropy = 0.0001 nats = 0.004% of H_max. Effective classes in posterior = 1.0001. Deep-certainty regime throughout.</w:t>
            </w:r>
          </w:p>
          <w:p>
            <w:pPr>
              <w:spacing w:before="60" w:after="100"/>
              <w:jc w:val="both"/>
            </w:pPr>
            <w:r>
              <w:rPr>
                <w:rFonts w:ascii="Georgia" w:cs="Georgia" w:eastAsia="Georgia" w:hAnsi="Georgia"/>
                <w:b/>
                <w:bCs/>
                <w:color w:val="1A1A1A"/>
                <w:sz w:val="20"/>
                <w:szCs w:val="20"/>
              </w:rPr>
              <w:t xml:space="preserve">The near-zero posterior entropy confirms the classifier operates far from its decision boundaries for all training samples. </w:t>
            </w:r>
            <w:r>
              <w:rPr>
                <w:rFonts w:ascii="Georgia" w:cs="Georgia" w:eastAsia="Georgia" w:hAnsi="Georgia"/>
                <w:color w:val="1A1A1A"/>
                <w:sz w:val="20"/>
                <w:szCs w:val="20"/>
              </w:rPr>
              <w:t xml:space="preserve">The temperature T=2.5 (set to the deliberately high value identified in the statistical mechanics paper as 25× above the optimal T* = 0.1) causes mild underconfidence in calibration but does not prevent near-deterministic posteriors — because the functional margins (mean 53.3 LLR units) are so large that even after dividing by T=2.5, the softmax produces probability ≈ 1 for the correct class and ≈ exp(−53.3/2.5) ≈ 10⁻⁹ for the next best.</w:t>
            </w:r>
          </w:p>
          <w:p>
            <w:pPr>
              <w:spacing w:before="60" w:after="100"/>
              <w:jc w:val="both"/>
            </w:pPr>
            <w:r>
              <w:rPr>
                <w:rFonts w:ascii="Georgia" w:cs="Georgia" w:eastAsia="Georgia" w:hAnsi="Georgia"/>
                <w:b/>
                <w:bCs/>
                <w:color w:val="1A1A1A"/>
                <w:sz w:val="20"/>
                <w:szCs w:val="20"/>
              </w:rPr>
              <w:t xml:space="preserve">bin_benign has the highest posterior entropy (max 0.0266 nats = 1.2% of H_max). </w:t>
            </w:r>
            <w:r>
              <w:rPr>
                <w:rFonts w:ascii="Georgia" w:cs="Georgia" w:eastAsia="Georgia" w:hAnsi="Georgia"/>
                <w:color w:val="1A1A1A"/>
                <w:sz w:val="20"/>
                <w:szCs w:val="20"/>
              </w:rPr>
              <w:t xml:space="preserve">This is consistent with bin_benign having the largest within-class variance (tr(Σ_{bin_benign}) = 0.427, vs 0.0003 for log_warn) and the smallest minimum functional margin (13.7 LLR units, vs 80.2 for net_ddos). A bin_benign sample with an unusual random payload can produce a feature vector closer to the bin_malware centroid, reducing the LLR gap and increasing posterior uncertainty. Even so, the maximum posterior entropy of 0.0266 nats corresponds to maximum misclassification probability of only 2.6% for that single sample.</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2E1A"/>
          <w:sz w:val="30"/>
          <w:szCs w:val="30"/>
        </w:rPr>
        <w:t xml:space="preserve">11. Synthesis</w:t>
      </w:r>
    </w:p>
    <w:p>
      <w:pPr>
        <w:pStyle w:val="ListParagraph"/>
        <w:numPr>
          <w:ilvl w:val="0"/>
          <w:numId w:val="2"/>
        </w:numPr>
        <w:spacing w:before="40" w:after="40"/>
      </w:pPr>
      <w:r>
        <w:rPr>
          <w:rFonts w:ascii="Georgia" w:cs="Georgia" w:eastAsia="Georgia" w:hAnsi="Georgia"/>
          <w:b/>
          <w:bCs/>
          <w:color w:val="1A1A1A"/>
          <w:sz w:val="20"/>
          <w:szCs w:val="20"/>
        </w:rPr>
        <w:t xml:space="preserve">The classifier operates as an identity channel: I(Y;Ŷ) = H(Y) = 3.322 bits. </w:t>
      </w:r>
      <w:r>
        <w:rPr>
          <w:rFonts w:ascii="Georgia" w:cs="Georgia" w:eastAsia="Georgia" w:hAnsi="Georgia"/>
          <w:color w:val="1A1A1A"/>
          <w:sz w:val="20"/>
          <w:szCs w:val="20"/>
        </w:rPr>
        <w:t xml:space="preserve">Zero confusion on 5,000 test samples. The capacity gap of 0.057 bits (1.7% of H(Y)) is the difference between theoretical multiclass Gram capacity (3.379 bits) and the actually transmitted information (3.322 bits), representing unused channel capacity.</w:t>
      </w:r>
    </w:p>
    <w:p>
      <w:pPr>
        <w:pStyle w:val="ListParagraph"/>
        <w:numPr>
          <w:ilvl w:val="0"/>
          <w:numId w:val="2"/>
        </w:numPr>
        <w:spacing w:before="40" w:after="40"/>
      </w:pPr>
      <w:r>
        <w:rPr>
          <w:rFonts w:ascii="Georgia" w:cs="Georgia" w:eastAsia="Georgia" w:hAnsi="Georgia"/>
          <w:b/>
          <w:bCs/>
          <w:color w:val="1A1A1A"/>
          <w:sz w:val="20"/>
          <w:szCs w:val="20"/>
        </w:rPr>
        <w:t xml:space="preserve">All Chernoff bounds and Bhattacharyya bounds are extremely tight: P_e ≤ 10⁻²⁶⁹ per class pair. </w:t>
      </w:r>
      <w:r>
        <w:rPr>
          <w:rFonts w:ascii="Georgia" w:cs="Georgia" w:eastAsia="Georgia" w:hAnsi="Georgia"/>
          <w:color w:val="1A1A1A"/>
          <w:sz w:val="20"/>
          <w:szCs w:val="20"/>
        </w:rPr>
        <w:t xml:space="preserve">The nearest-neighbour bound (10⁻²⁶⁹) and union bound (5.3×10⁻⁵) reflect the 70.2σ noise margin at the closest pair (bin_malware↔bin_benign).</w:t>
      </w:r>
    </w:p>
    <w:p>
      <w:pPr>
        <w:pStyle w:val="ListParagraph"/>
        <w:numPr>
          <w:ilvl w:val="0"/>
          <w:numId w:val="2"/>
        </w:numPr>
        <w:spacing w:before="40" w:after="40"/>
      </w:pPr>
      <w:r>
        <w:rPr>
          <w:rFonts w:ascii="Georgia" w:cs="Georgia" w:eastAsia="Georgia" w:hAnsi="Georgia"/>
          <w:b/>
          <w:bCs/>
          <w:color w:val="1A1A1A"/>
          <w:sz w:val="20"/>
          <w:szCs w:val="20"/>
        </w:rPr>
        <w:t xml:space="preserve">The encoder MIMO capacity (84.1 bits uniform, 28.0 bits water-filling) vastly exceeds the 3.32-bit classification requirement (25× overhead). </w:t>
      </w:r>
      <w:r>
        <w:rPr>
          <w:rFonts w:ascii="Georgia" w:cs="Georgia" w:eastAsia="Georgia" w:hAnsi="Georgia"/>
          <w:color w:val="1A1A1A"/>
          <w:sz w:val="20"/>
          <w:szCs w:val="20"/>
        </w:rPr>
        <w:t xml:space="preserve">This over-provisioning is the information-theoretic explanation for the extreme noise robustness: the encoder uses far more dimensions than needed, spreading class information across 128 channels and averaging out noise.</w:t>
      </w:r>
    </w:p>
    <w:p>
      <w:pPr>
        <w:pStyle w:val="ListParagraph"/>
        <w:numPr>
          <w:ilvl w:val="0"/>
          <w:numId w:val="2"/>
        </w:numPr>
        <w:spacing w:before="40" w:after="40"/>
      </w:pPr>
      <w:r>
        <w:rPr>
          <w:rFonts w:ascii="Georgia" w:cs="Georgia" w:eastAsia="Georgia" w:hAnsi="Georgia"/>
          <w:b/>
          <w:bCs/>
          <w:color w:val="1A1A1A"/>
          <w:sz w:val="20"/>
          <w:szCs w:val="20"/>
        </w:rPr>
        <w:t xml:space="preserve">Spectral efficiency η = 3.95%: deliberately low. </w:t>
      </w:r>
      <w:r>
        <w:rPr>
          <w:rFonts w:ascii="Georgia" w:cs="Georgia" w:eastAsia="Georgia" w:hAnsi="Georgia"/>
          <w:color w:val="1A1A1A"/>
          <w:sz w:val="20"/>
          <w:szCs w:val="20"/>
        </w:rPr>
        <w:t xml:space="preserve">The 38.5× bandwidth expansion from 3.32 bits to 128 dimensions is the spread-spectrum analogy — more bandwidth in exchange for robustness. The KL divergences (37.9–159.3 nats) between class distributions are immense: even the hardest pair carries 54.7 bits of discriminative information per observation.</w:t>
      </w:r>
    </w:p>
    <w:p>
      <w:pPr>
        <w:pStyle w:val="ListParagraph"/>
        <w:numPr>
          <w:ilvl w:val="0"/>
          <w:numId w:val="2"/>
        </w:numPr>
        <w:spacing w:before="40" w:after="40"/>
      </w:pPr>
      <w:r>
        <w:rPr>
          <w:rFonts w:ascii="Georgia" w:cs="Georgia" w:eastAsia="Georgia" w:hAnsi="Georgia"/>
          <w:b/>
          <w:bCs/>
          <w:color w:val="1A1A1A"/>
          <w:sz w:val="20"/>
          <w:szCs w:val="20"/>
        </w:rPr>
        <w:t xml:space="preserve">Posterior entropy is near-zero (0.004% of H_max), confirming the deep-certainty regime. </w:t>
      </w:r>
      <w:r>
        <w:rPr>
          <w:rFonts w:ascii="Georgia" w:cs="Georgia" w:eastAsia="Georgia" w:hAnsi="Georgia"/>
          <w:color w:val="1A1A1A"/>
          <w:sz w:val="20"/>
          <w:szCs w:val="20"/>
        </w:rPr>
        <w:t xml:space="preserve">The mean effective number of classes in the posterior is 1.0001 out of a maximum of 10. The classifier operates with essentially no uncertainty for any training sample.</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2E1A"/>
          <w:sz w:val="30"/>
          <w:szCs w:val="30"/>
        </w:rPr>
        <w:t xml:space="preserve">References</w:t>
      </w:r>
    </w:p>
    <w:p>
      <w:pPr>
        <w:spacing w:before="36" w:after="36"/>
      </w:pPr>
      <w:r>
        <w:rPr>
          <w:rFonts w:ascii="Georgia" w:cs="Georgia" w:eastAsia="Georgia" w:hAnsi="Georgia"/>
          <w:color w:val="666666"/>
          <w:sz w:val="17"/>
          <w:szCs w:val="17"/>
        </w:rPr>
        <w:t xml:space="preserve">[1] Shannon, C. E. (1948). A mathematical theory of communication. Bell System Technical Journal, 27(3), 379–423.</w:t>
      </w:r>
    </w:p>
    <w:p>
      <w:pPr>
        <w:spacing w:before="36" w:after="36"/>
      </w:pPr>
      <w:r>
        <w:rPr>
          <w:rFonts w:ascii="Georgia" w:cs="Georgia" w:eastAsia="Georgia" w:hAnsi="Georgia"/>
          <w:color w:val="666666"/>
          <w:sz w:val="17"/>
          <w:szCs w:val="17"/>
        </w:rPr>
        <w:t xml:space="preserve">[2] Cover, T. M., &amp; Thomas, J. A. (2006). Elements of Information Theory (2nd ed.). Wiley.</w:t>
      </w:r>
    </w:p>
    <w:p>
      <w:pPr>
        <w:spacing w:before="36" w:after="36"/>
      </w:pPr>
      <w:r>
        <w:rPr>
          <w:rFonts w:ascii="Georgia" w:cs="Georgia" w:eastAsia="Georgia" w:hAnsi="Georgia"/>
          <w:color w:val="666666"/>
          <w:sz w:val="17"/>
          <w:szCs w:val="17"/>
        </w:rPr>
        <w:t xml:space="preserve">[3] Gallager, R. G. (1968). Information Theory and Reliable Communication. Wiley.</w:t>
      </w:r>
    </w:p>
    <w:p>
      <w:pPr>
        <w:spacing w:before="36" w:after="36"/>
      </w:pPr>
      <w:r>
        <w:rPr>
          <w:rFonts w:ascii="Georgia" w:cs="Georgia" w:eastAsia="Georgia" w:hAnsi="Georgia"/>
          <w:color w:val="666666"/>
          <w:sz w:val="17"/>
          <w:szCs w:val="17"/>
        </w:rPr>
        <w:t xml:space="preserve">[4] Csiszár, I., &amp; Körner, J. (2011). Information Theory: Coding Theorems for Discrete Memoryless Systems (2nd ed.). Cambridge University Press.</w:t>
      </w:r>
    </w:p>
    <w:p>
      <w:pPr>
        <w:spacing w:before="36" w:after="36"/>
      </w:pPr>
      <w:r>
        <w:rPr>
          <w:rFonts w:ascii="Georgia" w:cs="Georgia" w:eastAsia="Georgia" w:hAnsi="Georgia"/>
          <w:color w:val="666666"/>
          <w:sz w:val="17"/>
          <w:szCs w:val="17"/>
        </w:rPr>
        <w:t xml:space="preserve">[5] Chernoff, H. (1952). A measure of asymptotic efficiency for tests of a hypothesis based on the sum of observations. Annals of Mathematical Statistics, 23(4), 493–507.</w:t>
      </w:r>
    </w:p>
    <w:p>
      <w:pPr>
        <w:spacing w:before="36" w:after="36"/>
      </w:pPr>
      <w:r>
        <w:rPr>
          <w:rFonts w:ascii="Georgia" w:cs="Georgia" w:eastAsia="Georgia" w:hAnsi="Georgia"/>
          <w:color w:val="666666"/>
          <w:sz w:val="17"/>
          <w:szCs w:val="17"/>
        </w:rPr>
        <w:t xml:space="preserve">[6] Bhattacharyya, A. (1943). On a measure of divergence between two statistical populations defined by their probability distributions. Bulletin of the Calcutta Mathematical Society, 35, 99–109.</w:t>
      </w:r>
    </w:p>
    <w:p>
      <w:pPr>
        <w:spacing w:before="36" w:after="36"/>
      </w:pPr>
      <w:r>
        <w:rPr>
          <w:rFonts w:ascii="Georgia" w:cs="Georgia" w:eastAsia="Georgia" w:hAnsi="Georgia"/>
          <w:color w:val="666666"/>
          <w:sz w:val="17"/>
          <w:szCs w:val="17"/>
        </w:rPr>
        <w:t xml:space="preserve">[7] Foschini, G. J., &amp; Gans, M. J. (1998). On limits of wireless communications in a fading environment when using multiple antennas. Wireless Personal Communications, 6(3), 311–335.</w:t>
      </w:r>
    </w:p>
    <w:p>
      <w:pPr>
        <w:spacing w:before="36" w:after="36"/>
      </w:pPr>
      <w:r>
        <w:rPr>
          <w:rFonts w:ascii="Georgia" w:cs="Georgia" w:eastAsia="Georgia" w:hAnsi="Georgia"/>
          <w:color w:val="666666"/>
          <w:sz w:val="17"/>
          <w:szCs w:val="17"/>
        </w:rPr>
        <w:t xml:space="preserve">[8] Telatar, I. E. (1999). Capacity of multi-antenna Gaussian channels. European Transactions on Telecommunications, 10(6), 585–595.</w:t>
      </w:r>
    </w:p>
    <w:p>
      <w:pPr>
        <w:spacing w:before="36" w:after="36"/>
      </w:pPr>
      <w:r>
        <w:rPr>
          <w:rFonts w:ascii="Georgia" w:cs="Georgia" w:eastAsia="Georgia" w:hAnsi="Georgia"/>
          <w:color w:val="666666"/>
          <w:sz w:val="17"/>
          <w:szCs w:val="17"/>
        </w:rPr>
        <w:t xml:space="preserve">[9] Waterfilling: Cover &amp; Thomas (2006), Chapter 10.4, “Parallel Gaussian Channels.”</w:t>
      </w:r>
    </w:p>
    <w:p>
      <w:pPr>
        <w:spacing w:before="36" w:after="36"/>
      </w:pPr>
      <w:r>
        <w:rPr>
          <w:rFonts w:ascii="Georgia" w:cs="Georgia" w:eastAsia="Georgia" w:hAnsi="Georgia"/>
          <w:color w:val="666666"/>
          <w:sz w:val="17"/>
          <w:szCs w:val="17"/>
        </w:rPr>
        <w:t xml:space="preserve">[10] Amari, S. (2016). Information Geometry and Its Applications. Springer.</w:t>
      </w:r>
    </w:p>
    <w:p>
      <w:pPr>
        <w:spacing w:before="36" w:after="36"/>
      </w:pPr>
      <w:r>
        <w:rPr>
          <w:rFonts w:ascii="Georgia" w:cs="Georgia" w:eastAsia="Georgia" w:hAnsi="Georgia"/>
          <w:color w:val="666666"/>
          <w:sz w:val="17"/>
          <w:szCs w:val="17"/>
        </w:rPr>
        <w:t xml:space="preserve">[11] van Trees, H. L. (2001). Detection, Estimation, and Modulation Theory, Part I. Wiley.</w:t>
      </w:r>
    </w:p>
    <w:p>
      <w:pPr>
        <w:spacing w:before="36" w:after="36"/>
      </w:pPr>
      <w:r>
        <w:rPr>
          <w:rFonts w:ascii="Georgia" w:cs="Georgia" w:eastAsia="Georgia" w:hAnsi="Georgia"/>
          <w:color w:val="666666"/>
          <w:sz w:val="17"/>
          <w:szCs w:val="17"/>
        </w:rPr>
        <w:t xml:space="preserve">[12] Forney, G. D., &amp; Ungerboeck, G. (1998). Modulation and coding for linear Gaussian channels. IEEE Transactions on Information Theory, 44(6), 2384–2415.</w:t>
      </w:r>
    </w:p>
    <w:p>
      <w:pPr>
        <w:spacing w:before="36" w:after="36"/>
      </w:pPr>
      <w:r>
        <w:rPr>
          <w:rFonts w:ascii="Georgia" w:cs="Georgia" w:eastAsia="Georgia" w:hAnsi="Georgia"/>
          <w:color w:val="666666"/>
          <w:sz w:val="17"/>
          <w:szCs w:val="17"/>
        </w:rPr>
        <w:t xml:space="preserve">[13] Calderbank, A. R. (1989). The art of signaling: Fifty years of coding theory. IEEE Transactions on Information Theory, 44(6), 2561–2595.</w:t>
      </w:r>
    </w:p>
    <w:p>
      <w:pPr>
        <w:spacing w:before="36" w:after="36"/>
      </w:pPr>
      <w:r>
        <w:rPr>
          <w:rFonts w:ascii="Georgia" w:cs="Georgia" w:eastAsia="Georgia" w:hAnsi="Georgia"/>
          <w:color w:val="666666"/>
          <w:sz w:val="17"/>
          <w:szCs w:val="17"/>
        </w:rPr>
        <w:t xml:space="preserve">[14] Rényi, A. (1961). On measures of entropy and information. Proceedings of the 4th Berkeley Symposium on Mathematics, Statistics, and Probability, 1, 547–561.</w:t>
      </w:r>
    </w:p>
    <w:p>
      <w:pPr>
        <w:spacing w:before="36" w:after="36"/>
      </w:pPr>
      <w:r>
        <w:rPr>
          <w:rFonts w:ascii="Georgia" w:cs="Georgia" w:eastAsia="Georgia" w:hAnsi="Georgia"/>
          <w:color w:val="666666"/>
          <w:sz w:val="17"/>
          <w:szCs w:val="17"/>
        </w:rPr>
        <w:t xml:space="preserve">[15] Kullback, S., &amp; Leibler, R. A. (1951). On information and sufficiency. Annals of Mathematical Statistics, 22(1), 79–86.</w:t>
      </w:r>
    </w:p>
    <w:p>
      <w:pPr>
        <w:spacing w:before="36" w:after="36"/>
      </w:pPr>
      <w:r>
        <w:rPr>
          <w:rFonts w:ascii="Georgia" w:cs="Georgia" w:eastAsia="Georgia" w:hAnsi="Georgia"/>
          <w:color w:val="666666"/>
          <w:sz w:val="17"/>
          <w:szCs w:val="17"/>
        </w:rPr>
        <w:t xml:space="preserve">[16] Blahut, R. E. (1974). Hypothesis testing and information theory. IEEE Transactions on Information Theory, 20(4), 405–417.</w:t>
      </w:r>
    </w:p>
    <w:p>
      <w:pPr>
        <w:spacing w:before="36" w:after="36"/>
      </w:pPr>
      <w:r>
        <w:rPr>
          <w:rFonts w:ascii="Georgia" w:cs="Georgia" w:eastAsia="Georgia" w:hAnsi="Georgia"/>
          <w:color w:val="666666"/>
          <w:sz w:val="17"/>
          <w:szCs w:val="17"/>
        </w:rPr>
        <w:t xml:space="preserve">[17] Dembo, A., &amp; Zeitouni, O. (2010). Large Deviations Techniques and Applications (2nd ed.). Springer.</w:t>
      </w:r>
    </w:p>
    <w:p>
      <w:pPr>
        <w:spacing w:before="36" w:after="36"/>
      </w:pPr>
      <w:r>
        <w:rPr>
          <w:rFonts w:ascii="Georgia" w:cs="Georgia" w:eastAsia="Georgia" w:hAnsi="Georgia"/>
          <w:color w:val="666666"/>
          <w:sz w:val="17"/>
          <w:szCs w:val="17"/>
        </w:rPr>
        <w:t xml:space="preserve">[18] Polyanskiy, Y., Poor, H. V., &amp; Verdú, S. (2010). Channel coding rate in the finite blocklength regime. IEEE Transactions on Information Theory, 56(5), 2307–2359.</w:t>
      </w:r>
    </w:p>
    <w:p>
      <w:pPr>
        <w:spacing w:before="36" w:after="36"/>
      </w:pPr>
      <w:r>
        <w:rPr>
          <w:rFonts w:ascii="Georgia" w:cs="Georgia" w:eastAsia="Georgia" w:hAnsi="Georgia"/>
          <w:color w:val="666666"/>
          <w:sz w:val="17"/>
          <w:szCs w:val="17"/>
        </w:rPr>
        <w:t xml:space="preserve">[19] MacKay, D. J. C. (2003). Information Theory, Inference, and Learning Algorithms. Cambridge University Press.</w:t>
      </w:r>
    </w:p>
    <w:p>
      <w:pPr>
        <w:spacing w:before="36" w:after="36"/>
      </w:pPr>
      <w:r>
        <w:rPr>
          <w:rFonts w:ascii="Georgia" w:cs="Georgia" w:eastAsia="Georgia" w:hAnsi="Georgia"/>
          <w:color w:val="666666"/>
          <w:sz w:val="17"/>
          <w:szCs w:val="17"/>
        </w:rPr>
        <w:t xml:space="preserve">[20] Richardson, T., &amp; Urbanke, R. (2008). Modern Coding Theory. Cambridge University Press.</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CyphaDIF: Coding Theory  |  Page </w:t>
    </w:r>
    <w:r>
      <w:rPr>
        <w:rFonts w:ascii="Georgia" w:cs="Georgia" w:eastAsia="Georgia" w:hAnsi="Georgia"/>
        <w:color w:val="666666"/>
        <w:sz w:val="18"/>
        <w:szCs w:val="18"/>
      </w:rPr>
      <w:fldChar w:fldCharType="begin"/>
      <w:instrText xml:space="preserve">PAGE</w:instrText>
      <w:fldChar w:fldCharType="separate"/>
      <w:fldChar w:fldCharType="end"/>
    </w:r>
    <w:r>
      <w:rPr>
        <w:rFonts w:ascii="Georgia" w:cs="Georgia" w:eastAsia="Georgia" w:hAnsi="Georgia"/>
        <w:i/>
        <w:iCs/>
        <w:color w:val="666666"/>
        <w:sz w:val="18"/>
        <w:szCs w:val="18"/>
      </w:rPr>
      <w:t xml:space="preserve">  |  Unpublished Technical Report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0A2E1A"/>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A6B3A"/>
      <w:sz w:val="25"/>
      <w:szCs w:val="25"/>
    </w:rPr>
  </w:style>
  <w:style w:type="paragraph" w:styleId="Heading3">
    <w:name w:val="Heading 3"/>
    <w:basedOn w:val="Normal"/>
    <w:next w:val="Normal"/>
    <w:qFormat/>
    <w:pPr>
      <w:spacing w:before="180" w:after="80"/>
      <w:outlineLvl w:val="2"/>
    </w:pPr>
    <w:rPr>
      <w:rFonts w:ascii="Arial" w:cs="Arial" w:eastAsia="Arial" w:hAnsi="Arial"/>
      <w:b/>
      <w:bCs/>
      <w:color w:val="0D4A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2026-03-10T09:22:07.243Z</dcterms:created>
  <dcterms:modified xsi:type="dcterms:W3CDTF">2026-03-10T09:22:07.244Z</dcterms:modified>
</cp:coreProperties>
</file>

<file path=docProps/custom.xml><?xml version="1.0" encoding="utf-8"?>
<Properties xmlns="http://schemas.openxmlformats.org/officeDocument/2006/custom-properties" xmlns:vt="http://schemas.openxmlformats.org/officeDocument/2006/docPropsVTypes"/>
</file>