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0D3B" w:val="clear"/>
            <w:tcMar>
              <w:top w:type="dxa" w:w="520"/>
              <w:left w:type="dxa" w:w="520"/>
              <w:bottom w:type="dxa" w:w="520"/>
              <w:right w:type="dxa" w:w="5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6"/>
                <w:szCs w:val="46"/>
              </w:rPr>
              <w:t xml:space="preserve">Differential Geometry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of the Differential Information Field Classifier</w:t>
            </w:r>
          </w:p>
          <w:p>
            <w:pPr>
              <w:spacing w:before="0" w:after="90"/>
              <w:jc w:val="center"/>
            </w:pPr>
            <w:r>
              <w:rPr>
                <w:rFonts w:ascii="Arial" w:cs="Arial" w:eastAsia="Arial" w:hAnsi="Arial"/>
                <w:i/>
                <w:iCs/>
                <w:color w:val="C8A8E8"/>
                <w:sz w:val="20"/>
                <w:szCs w:val="20"/>
              </w:rPr>
              <w:t xml:space="preserve">Riemannian Geometry • Christoffel Symbols • Holonomy • Jacobi Fields • Cartan Frames • Sectional Curvature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color w:val="906AB0"/>
                <w:sz w:val="20"/>
                <w:szCs w:val="20"/>
              </w:rPr>
              <w:t xml:space="preserve">Unpublished Technical Report — 2026</w:t>
            </w:r>
          </w:p>
        </w:tc>
      </w:tr>
    </w:tbl>
    <w:p>
      <w:pPr>
        <w:spacing w:before="44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3B0D3B"/>
          <w:sz w:val="24"/>
          <w:szCs w:val="24"/>
        </w:rPr>
        <w:t xml:space="preserve">Abstract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E8D8F0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We analyse the differential geometry of the CyphaDIF classifier across three geometric domains: the </w:t>
            </w: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statistical parameter manifold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 — the space of Gaussian distributions N(μ, v₀) parameterised by the class means μ_k; the </w:t>
            </w: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encoder weight manifold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 — the Lie group GL(128) in which the encoder matrix W lives; and the </w:t>
            </w: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feature space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 equipped with the encoder-induced Riemannian metric. Across ten probes, three geometric regimes are found. </w:t>
            </w: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Flat regime (statistical manifold):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The Gaussian family with fixed variance is a flat Riemannian manifold with zero Riemann curvature tensor, zero Christoffel symbols, trivial holonomy group {Id}, and path-independent parallel transport. Geodesics are straight lines γ(t) = μ₀ + tδ_k. The Fisher-Rao metric inflates distances by 8.06× relative to Euclidean; class geodesic distances range from 8.71 to 17.85. Every decision boundary is a totally geodesic hyperplane (geodesic curvature κ_g = 0) passing exactly through the midpoint of each class-pair geodesic, confirming Bayes-optimality in the Fisher metric. </w:t>
            </w: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Curved regime (encoder manifold GL(128)):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The encoder matrix W lives in GL(128), a curved Lie group. The sectional curvature of GL(128) with bi-invariant metric clusters tightly around K = 0.500 (mean 0.5004, std 0.0044) across 50 random tangent pairs — consistent with a rank-1 symmetric space where K ∈ {0, 1/4}. The polar decomposition W = Q·P reveals a large orthogonal rotation Q with ||Q−I||_F = 16.46 (of max 22.63) and mean rotation angle 93.35°. Ricci and scalar curvatures are approximately 63.6 and 8,135. </w:t>
            </w: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Induced geometry (feature space):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The encoder-induced metric g_enc = Wᵀ diag(1/v₀) W on feature space has eigenvalues spanning [1.07, 218.3], condition number 203.96, effective rank 51.38, and log-determinant 337.48. The Cartan moving frame e_i = columns of W⁻¹ is far from Fisher-orthonormal (||Gram−I||_F = 7,755). Jacobi fields on the flat statistical manifold grow linearly (Lyapunov exponent λ = 0), confirmed empirically: classification flips at ε ≈ 0.9 along the geodesic toward the nearest class.</w:t>
            </w:r>
          </w:p>
        </w:tc>
      </w:tr>
    </w:tbl>
    <w:p>
      <w:pPr>
        <w:spacing w:before="2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3B0D3B"/>
          <w:sz w:val="30"/>
          <w:szCs w:val="30"/>
        </w:rPr>
        <w:t xml:space="preserve">1. Geometric Setup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Three distinct geometric domains arise in CyphaDIF: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Statistical manifold Mₛ: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{N(μ, v₀) : μ ∈ ℝ^d} with the Fisher-Rao (FR) metric G_ij = δ_ij/v_{0,i}. Since v₀ is shared across classes, the class means {(μ_k, v₀)} form a d-dimensional affine subspace within the full NIG manifold. Fixed-variance Gaussian families are flat: all curvature tensors vanish.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Weight manifold M_W: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GL(128) = {W ∈ ℝ^{128×128} : det W ≠ 0}, a Lie group. With the bi-invariant metric g(X,Y) = tr(XᵀY)/d (left- and right-invariant), GL(d) has sectional curvature K = 1/4 for compact directions and 0 for non-compact ones. The encoder W lies in GL(128) and has been shaped by contrastive Fisher-Rao gradient descent.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Induced feature manifold M_f: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The feature space ℝ^d equipped with the pulled-back metric g_enc = Wᵀ G_0 W, where G_0 = diag(1/v₀). This measures how the encoder stretches and rotates the input space relative to the Fisher metric on the output.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0A001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Notation: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  d = 128        (dimension of encoder output and feature space)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  K = 10         (number of classes)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  v₀ ∈ ℝ^d_+   (shared world-prior variance, mean=0.0154)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  G₀ = diag(1/v₀)  (Fisher metric matrix, precision matrix)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  μ₀ ∈ ℝ^d    (world-prior mean)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  δ_k = μ_k - μ₀  (class offset, ||D||_G = Fisher distance from prior)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  W ∈ GL(128)   (encoder projection matrix)</w:t>
            </w:r>
          </w:p>
        </w:tc>
      </w:tr>
    </w:tbl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3B0D3B"/>
          <w:sz w:val="30"/>
          <w:szCs w:val="30"/>
        </w:rPr>
        <w:t xml:space="preserve">2. Fisher-Rao Metric and Geodesic Distances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1A8B"/>
          <w:sz w:val="25"/>
          <w:szCs w:val="25"/>
        </w:rPr>
        <w:t xml:space="preserve">2.1 Riemannian Metric on the Statistical Manifold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For the Gaussian family N(μ, v₀) with fixed diagonal covariance diag(v₀), the Fisher information matrix is: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0A001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G_ij(μ) = E[∂_i log p(x|μ) ∂_j log p(x|μ)]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         = δ_ij / v_{0,i}   (diagonal, position-independent)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This is a flat metric: Christoffel symbols Γ^k_ij = 0 for all i,j,k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Riemann tensor: R^l_kij = 0 (flat)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Geodesic equation: dμ/dt = const  (straight lines)</w:t>
            </w:r>
          </w:p>
        </w:tc>
      </w:tr>
    </w:tbl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The flatness of the Fisher metric on fixed-variance Gaussians is a standard result in information geometry. The Riemannian distance between two class means is: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0A001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d_G(μ_i, μ_j) = ||μ_i - μ_j||_G = √( Σ_d (μ_{i,d} - μ_{j,d})^2 / v_{0,d} 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= ||δ_i - δ_j||_G   (since μ_i = μ_0 + δ_i, terms cancel)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1A8B"/>
          <w:sz w:val="25"/>
          <w:szCs w:val="25"/>
        </w:rPr>
        <w:t xml:space="preserve">2.2 Geodesic Distance Matrix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2600"/>
        <w:gridCol w:w="2200"/>
        <w:gridCol w:w="2600"/>
      </w:tblGrid>
      <w:tr>
        <w:trPr>
          <w:tblHeader/>
        </w:trPr>
        <w:tc>
          <w:tcPr>
            <w:tcW w:type="dxa" w:w="3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3B0D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pair</w:t>
            </w:r>
          </w:p>
        </w:tc>
        <w:tc>
          <w:tcPr>
            <w:tcW w:type="dxa" w:w="2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3B0D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d_G (Fisher-Rao)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3B0D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d_Eucl (Euclidean)</w:t>
            </w:r>
          </w:p>
        </w:tc>
        <w:tc>
          <w:tcPr>
            <w:tcW w:type="dxa" w:w="2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3B0D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FR/Eucl ratio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3B0D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Classification difficulty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bin_malware ↔ bin_benign</w:t>
            </w:r>
          </w:p>
        </w:tc>
        <w:tc>
          <w:tcPr>
            <w:tcW w:type="dxa" w:w="2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  8.71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1.054</w:t>
            </w:r>
          </w:p>
        </w:tc>
        <w:tc>
          <w:tcPr>
            <w:tcW w:type="dxa" w:w="2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8.26×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Closest pair (FR)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log_warn ↔ log_error</w:t>
            </w:r>
          </w:p>
        </w:tc>
        <w:tc>
          <w:tcPr>
            <w:tcW w:type="dxa" w:w="2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  9.39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1.165</w:t>
            </w:r>
          </w:p>
        </w:tc>
        <w:tc>
          <w:tcPr>
            <w:tcW w:type="dxa" w:w="2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8.06×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log_info ↔ log_warn</w:t>
            </w:r>
          </w:p>
        </w:tc>
        <w:tc>
          <w:tcPr>
            <w:tcW w:type="dxa" w:w="2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  9.89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1.227</w:t>
            </w:r>
          </w:p>
        </w:tc>
        <w:tc>
          <w:tcPr>
            <w:tcW w:type="dxa" w:w="2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8.06×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net_normal ↔ log_warn</w:t>
            </w:r>
          </w:p>
        </w:tc>
        <w:tc>
          <w:tcPr>
            <w:tcW w:type="dxa" w:w="2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  9.97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1.237</w:t>
            </w:r>
          </w:p>
        </w:tc>
        <w:tc>
          <w:tcPr>
            <w:tcW w:type="dxa" w:w="2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8.06×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… (mean)</w:t>
            </w:r>
          </w:p>
        </w:tc>
        <w:tc>
          <w:tcPr>
            <w:tcW w:type="dxa" w:w="2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13.71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1.700</w:t>
            </w:r>
          </w:p>
        </w:tc>
        <w:tc>
          <w:tcPr>
            <w:tcW w:type="dxa" w:w="2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8.06×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net_c2 ↔ bin_malware</w:t>
            </w:r>
          </w:p>
        </w:tc>
        <w:tc>
          <w:tcPr>
            <w:tcW w:type="dxa" w:w="2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17.85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2.215</w:t>
            </w:r>
          </w:p>
        </w:tc>
        <w:tc>
          <w:tcPr>
            <w:tcW w:type="dxa" w:w="2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8.06×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Farthest pair (FR)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net_exfil ↔ bin_malware</w:t>
            </w:r>
          </w:p>
        </w:tc>
        <w:tc>
          <w:tcPr>
            <w:tcW w:type="dxa" w:w="2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17.48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2.174</w:t>
            </w:r>
          </w:p>
        </w:tc>
        <w:tc>
          <w:tcPr>
            <w:tcW w:type="dxa" w:w="2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8.04×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net_c2 ↔ net_ddos</w:t>
            </w:r>
          </w:p>
        </w:tc>
        <w:tc>
          <w:tcPr>
            <w:tcW w:type="dxa" w:w="2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16.23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2.019</w:t>
            </w:r>
          </w:p>
        </w:tc>
        <w:tc>
          <w:tcPr>
            <w:tcW w:type="dxa" w:w="2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8.04×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0E8F5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B0D3B"/>
                <w:sz w:val="19"/>
                <w:szCs w:val="19"/>
              </w:rPr>
              <w:t xml:space="preserve">FR/Euclidean ratio = 8.06× (nearly constant across all pairs).</w:t>
            </w:r>
          </w:p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The near-constant ratio d_G/d_Eucl ≈ 8.06 across all 45 pairs is a striking geometric fact.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In general, the FR metric inflates distances differently in different directions depending on v₀: dimensions with small v₀ (high precision) are stretched more. The near-constant ratio means that the class offsets δ_i − δ_j are approximately isotropic with respect to v₀: the difference vectors align equally with high- and low-precision dimensions. This is consistent with the harmonic analysis finding that the delta-vector spectra have similar flatness across classes (0.77–0.90).</w:t>
            </w:r>
          </w:p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Fisher distances from the world prior μ₀: range [6.17, 11.53].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The closest class to the world prior in the Fisher metric is net_normal (||delta||_G = 6.17), consistent with HTTP traffic being the most ‘generic’ traffic type. The farthest is bin_malware (||delta||_G = 11.53), consistent with the MZ header producing the most distinctive feature pattern. These Fisher distances are the natural complexity measure for MDL (the description length L(δ_k) = ||delta||_G^2 / 2 = 19.0–66.5 nats).</w:t>
            </w:r>
          </w:p>
        </w:tc>
      </w:tr>
    </w:tbl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3B0D3B"/>
          <w:sz w:val="30"/>
          <w:szCs w:val="30"/>
        </w:rPr>
        <w:t xml:space="preserve">3. Christoffel Symbols, Connection, and Flat Geometry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The Christoffel symbols Γ^k_ij of a Riemannian manifold measure the failure of the coordinate basis to be parallel. For the Fisher metric G_ij = δ_ij/v_{0,i} (diagonal, position-independent):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0A001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Γ^k_ij = (1/2) G^{kl} (∂_i G_{lj} + ∂_j G_{li} - ∂_l G_{ij})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Since G is constant (∂_i G_{lj} = 0 for all i,l,j):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Γ^k_ij = 0  for all i, j, k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Geodesic equation: d²μ^k/dt² + Γ^k_ij (dμ^i/dt)(dμ^j/dt) = 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Reduces to: d²μ^k/dt² = 0   ⇒  μ(t) = μ_0 + t·v  (straight lines)</w:t>
            </w:r>
          </w:p>
        </w:tc>
      </w:tr>
    </w:tbl>
    <w:p>
      <w:pPr>
        <w:spacing w:before="60" w:after="100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The Levi-Civita connection on the statistical manifold is the standard Euclidean connection.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This means parallel transport is the identity map: a tangent vector v transported along any path γ from p to q remains equal to v (as a vector in ℝ^d). The holonomy group (the group of all parallel transport maps along closed loops) is therefore the trivial group {I_d}.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Covariant derivatives reduce to ordinary derivatives.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For any vector field V and any path γ, the covariant derivative D_{γ'}V = ∂_{γ'}V (ordinary directional derivative). This simplification is the geometric reason why the NIG classifier’s Fisher-Rao gradient updates are identical to Euclidean gradient updates rescaled by v₀ — the connection is flat, so there is no correction term.</w:t>
      </w:r>
    </w:p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3B0D3B"/>
          <w:sz w:val="30"/>
          <w:szCs w:val="30"/>
        </w:rPr>
        <w:t xml:space="preserve">4. Holonomy and Parallel Transport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1A8B"/>
          <w:sz w:val="25"/>
          <w:szCs w:val="25"/>
        </w:rPr>
        <w:t xml:space="preserve">4.1 Statistical Manifold Holonomy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The holonomy group Hol(∇, p) at a point p is the group of all linear maps on T_pM obtained by parallel transport around all closed loops through p. For a flat manifold: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0A001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Hol(∇, μ_0) = {Id}   (trivial holonomy)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Angle defect for a geodesic triangle (μ_i, μ_j, μ_k):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  α + β + γ = π   (Euclidean angle sum, Gauss-Bonnet with K=0)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A tangent vector v transported around any closed loop returns to itself.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1A8B"/>
          <w:sz w:val="25"/>
          <w:szCs w:val="25"/>
        </w:rPr>
        <w:t xml:space="preserve">4.2 Encoder Polar Decomposition and Rotation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The encoder W ∈ GL(128) admits the unique polar decomposition W = Q·P where Q is orthogonal (det Q = ±1) and P is symmetric positive definite. The orthogonal factor Q represents the rotational content of W; P represents the stretching.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600"/>
      </w:tblGrid>
      <w:tr>
        <w:trPr>
          <w:tblHeader/>
        </w:trPr>
        <w:tc>
          <w:tcPr>
            <w:tcW w:type="dxa" w:w="3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3B0D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3B0D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3B0D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||Q − I||_F</w:t>
            </w:r>
          </w:p>
        </w:tc>
        <w:tc>
          <w:tcPr>
            <w:tcW w:type="dxa" w:w="2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16.46</w:t>
            </w:r>
          </w:p>
        </w:tc>
        <w:tc>
          <w:tcPr>
            <w:tcW w:type="dxa" w:w="4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72.8% of maximum possible (2√128 = 22.63)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tr(Q)/d</w:t>
            </w:r>
          </w:p>
        </w:tc>
        <w:tc>
          <w:tcPr>
            <w:tcW w:type="dxa" w:w="2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−0.058</w:t>
            </w:r>
          </w:p>
        </w:tc>
        <w:tc>
          <w:tcPr>
            <w:tcW w:type="dxa" w:w="4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Near-zero: Q rotates by ∼90° on average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Mean rotation angle</w:t>
            </w:r>
          </w:p>
        </w:tc>
        <w:tc>
          <w:tcPr>
            <w:tcW w:type="dxa" w:w="2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93.4°</w:t>
            </w:r>
          </w:p>
        </w:tc>
        <w:tc>
          <w:tcPr>
            <w:tcW w:type="dxa" w:w="4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Near-maximal: Q is a large rotation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det(Q)</w:t>
            </w:r>
          </w:p>
        </w:tc>
        <w:tc>
          <w:tcPr>
            <w:tcW w:type="dxa" w:w="2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−1.000</w:t>
            </w:r>
          </w:p>
        </w:tc>
        <w:tc>
          <w:tcPr>
            <w:tcW w:type="dxa" w:w="4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W has negative orientation (improper rotation)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||P − I||_F</w:t>
            </w:r>
          </w:p>
        </w:tc>
        <w:tc>
          <w:tcPr>
            <w:tcW w:type="dxa" w:w="2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Varies</w:t>
            </w:r>
          </w:p>
        </w:tc>
        <w:tc>
          <w:tcPr>
            <w:tcW w:type="dxa" w:w="4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Stretching component: non-uniform scaling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Condition number κ(g_enc)</w:t>
            </w:r>
          </w:p>
        </w:tc>
        <w:tc>
          <w:tcPr>
            <w:tcW w:type="dxa" w:w="2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203.96</w:t>
            </w:r>
          </w:p>
        </w:tc>
        <w:tc>
          <w:tcPr>
            <w:tcW w:type="dxa" w:w="4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Strong anisotropy in encoder-induced metric</w:t>
            </w:r>
          </w:p>
        </w:tc>
      </w:tr>
    </w:tbl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0E8F5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B0D3B"/>
                <w:sz w:val="19"/>
                <w:szCs w:val="19"/>
              </w:rPr>
              <w:t xml:space="preserve">Q has mean rotation 93.4° and det(Q) = −1: the encoder applies a near-maximal improper rotation.</w:t>
            </w:r>
          </w:p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The orthogonal factor Q of the polar decomposition has ||Q−I||_F = 16.46 out of a maximum of 22.63 (72.8%).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This means the encoder has learned a large rotation in latent space: input feature patterns are rotated by an average of 93.4° before being fed to the class score functions. The negative determinant (det Q = −1) indicates an improper rotation (includes a reflection), which is geometrically valid for the discriminative task since reflections preserve inner products and therefore class margins.</w:t>
            </w:r>
          </w:p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The symmetric factor P (stretching) has condition number 203.96 in the Fisher metric.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The induced metric g_enc = Wᵀ G₀ W has eigenvalues ranging from 1.07 to 218.33, with effective rank 51.38 out of 128. This means the encoder effectively uses only 51 of 128 input directions, compressing the 128-dimensional feature space into a 51-dimensional effective subspace (measured in Fisher metric volume). The log-determinant log det(g_enc) = 337.48 gives the log-volume scaling: the encoder inflates the Fisher volume by a factor of e^{337.48/2} ≈ 10^{73}.</w:t>
            </w:r>
          </w:p>
        </w:tc>
      </w:tr>
    </w:tbl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3B0D3B"/>
          <w:sz w:val="30"/>
          <w:szCs w:val="30"/>
        </w:rPr>
        <w:t xml:space="preserve">5. Geodesic Curvature of Decision Boundaries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Decision boundary B_{ij} between classes i and j is the hyperplane: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0A001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B_{ij} = { h ∈ ℝ^d : LLR_i(h) = LLR_j(h)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        = { h : ⟨w_i - w_j, h⟩ = b_j - b_i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        = { h : ⟨δ_i/v₀ - δ_j/v₀, h⟩ = const }</w:t>
            </w:r>
          </w:p>
        </w:tc>
      </w:tr>
    </w:tbl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As a subset of the flat Riemannian manifold (ℝ^d, G₀), a hyperplane is a totally geodesic submanifold. Its geodesic curvature κ_g measures how much the boundary curves relative to geodesics tangent to it: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0A001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κ_g(B_{ij}) = 0  for all pairs (i,j)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All 45/45 boundaries have geodesic curvature exactly zero.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All boundaries pass exactly through the midpoint of the class-pair geodesic.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  (midpoint μ_mid = (μ_i + μ_j)/2, confirmed: LLR_i(μ_mid) = LLR_j(μ_mid))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0E8F5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B0D3B"/>
                <w:sz w:val="19"/>
                <w:szCs w:val="19"/>
              </w:rPr>
              <w:t xml:space="preserve">Boundary alignment theorem: all 45 decision boundaries are perpendicular to the corresponding class geodesic (angle 0.000°) and pass through the geodesic midpoint.</w:t>
            </w:r>
          </w:p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This is an analytic result, not a numerical coincidence.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The LLR difference LLR_i(h) − LLR_j(h) = ⟨w_i−w_j, h⟩ + (b_i−b_j). The boundary normal in dual space is w_i−w_j = (δ_i−δ_j)/v₀. Raised to the primal space by G₀⁻¹ = diag(v₀), the primal normal is v₀·(w_i−w_j) = δ_i−δ_j = μ_i−μ_j. This is exactly the class geodesic direction. So the boundary is always perpendicular to the geodesic in the Fisher metric, and since the bias term is set to b_k = −⟨w_k, μ₀⟩ − ||δ_k||^2_V/2, the boundary passes through (μ_i+μ_j)/2 when the observation counts are equal. This is the condition for Bayes-optimal classification under equal Gaussian priors.</w:t>
            </w:r>
          </w:p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The boundary is totally geodesic: it is a flat (K−2)-dimensional submanifold.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For a flat ambient manifold, every hyperplane is totally geodesic (its second fundamental form vanishes). This means a geodesic that begins tangent to the boundary remains in the boundary — the boundary has zero extrinsic curvature. Geometrically, this means the boundary does not ‘bend’ in any direction, which is the optimal property for a classification boundary: no part of the boundary is unnecessarily curved into one class’s territory.</w:t>
            </w:r>
          </w:p>
        </w:tc>
      </w:tr>
    </w:tbl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3B0D3B"/>
          <w:sz w:val="30"/>
          <w:szCs w:val="30"/>
        </w:rPr>
        <w:t xml:space="preserve">6. Sectional Curvature of the Encoder Manifold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1A8B"/>
          <w:sz w:val="25"/>
          <w:szCs w:val="25"/>
        </w:rPr>
        <w:t xml:space="preserve">6.1 GL(d) with Bi-invariant Metric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The Lie group GL(d) equipped with the bi-invariant metric g(X,Y) = tr(XᵀY)/d (defined on the Lie algebra gl(d) and extended by left-translation) has sectional curvature: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0A001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K(X,Y) = (1/4) ||[X,Y]||^2 / ( ||X||^2 ||Y||^2 - ⟨X,Y⟩^2 )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where [X,Y] = XY - YX is the Lie bracket (matrix commutator)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and ||X||^2 = tr(X^T X)/d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For GL(d): K(X,Y) ≥ 0 (non-negative sectional curvature)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For SO(d) (compact subgroup): K = 1/4 (constant curvature)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For upper-triangular matrices: K = 0 (flat solvable subgroup)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1A8B"/>
          <w:sz w:val="25"/>
          <w:szCs w:val="25"/>
        </w:rPr>
        <w:t xml:space="preserve">6.2 Measured Curvature at W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800"/>
        <w:gridCol w:w="2200"/>
      </w:tblGrid>
      <w:tr>
        <w:trPr>
          <w:tblHeader/>
        </w:trPr>
        <w:tc>
          <w:tcPr>
            <w:tcW w:type="dxa" w:w="30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3B0D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Tangent pair</w:t>
            </w:r>
          </w:p>
        </w:tc>
        <w:tc>
          <w:tcPr>
            <w:tcW w:type="dxa" w:w="2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3B0D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K(X_i, X_j)</w:t>
            </w:r>
          </w:p>
        </w:tc>
        <w:tc>
          <w:tcPr>
            <w:tcW w:type="dxa" w:w="28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3B0D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Singular values</w:t>
            </w:r>
          </w:p>
        </w:tc>
        <w:tc>
          <w:tcPr>
            <w:tcW w:type="dxa" w:w="2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3B0D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Random pairs (mean ± std)</w:t>
            </w:r>
          </w:p>
        </w:tc>
        <w:tc>
          <w:tcPr>
            <w:tcW w:type="dxa" w:w="2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0.500 ± 0.004</w:t>
            </w:r>
          </w:p>
        </w:tc>
        <w:tc>
          <w:tcPr>
            <w:tcW w:type="dxa" w:w="28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N/A</w:t>
            </w:r>
          </w:p>
        </w:tc>
        <w:tc>
          <w:tcPr>
            <w:tcW w:type="dxa" w:w="2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Clusters near 1/2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(σ_1, σ_2)</w:t>
            </w:r>
          </w:p>
        </w:tc>
        <w:tc>
          <w:tcPr>
            <w:tcW w:type="dxa" w:w="2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0.264</w:t>
            </w:r>
          </w:p>
        </w:tc>
        <w:tc>
          <w:tcPr>
            <w:tcW w:type="dxa" w:w="28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1.697, 1.143</w:t>
            </w:r>
          </w:p>
        </w:tc>
        <w:tc>
          <w:tcPr>
            <w:tcW w:type="dxa" w:w="2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Large SVs: lower curvature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(σ_1, σ_3)</w:t>
            </w:r>
          </w:p>
        </w:tc>
        <w:tc>
          <w:tcPr>
            <w:tcW w:type="dxa" w:w="2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0.016</w:t>
            </w:r>
          </w:p>
        </w:tc>
        <w:tc>
          <w:tcPr>
            <w:tcW w:type="dxa" w:w="28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1.697, 1.026</w:t>
            </w:r>
          </w:p>
        </w:tc>
        <w:tc>
          <w:tcPr>
            <w:tcW w:type="dxa" w:w="2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Near-equal SVs: near-zero 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(σ_1, σ_5)</w:t>
            </w:r>
          </w:p>
        </w:tc>
        <w:tc>
          <w:tcPr>
            <w:tcW w:type="dxa" w:w="2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1.486</w:t>
            </w:r>
          </w:p>
        </w:tc>
        <w:tc>
          <w:tcPr>
            <w:tcW w:type="dxa" w:w="28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1.697, 0.836</w:t>
            </w:r>
          </w:p>
        </w:tc>
        <w:tc>
          <w:tcPr>
            <w:tcW w:type="dxa" w:w="2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Most disparate: highest 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(σ_3, σ_5)</w:t>
            </w:r>
          </w:p>
        </w:tc>
        <w:tc>
          <w:tcPr>
            <w:tcW w:type="dxa" w:w="2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1.395</w:t>
            </w:r>
          </w:p>
        </w:tc>
        <w:tc>
          <w:tcPr>
            <w:tcW w:type="dxa" w:w="28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1.026, 0.836</w:t>
            </w:r>
          </w:p>
        </w:tc>
        <w:tc>
          <w:tcPr>
            <w:tcW w:type="dxa" w:w="2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Near-equal small SVs: high 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(σ_4, σ_5)</w:t>
            </w:r>
          </w:p>
        </w:tc>
        <w:tc>
          <w:tcPr>
            <w:tcW w:type="dxa" w:w="2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0.770</w:t>
            </w:r>
          </w:p>
        </w:tc>
        <w:tc>
          <w:tcPr>
            <w:tcW w:type="dxa" w:w="28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0.883, 0.836</w:t>
            </w:r>
          </w:p>
        </w:tc>
        <w:tc>
          <w:tcPr>
            <w:tcW w:type="dxa" w:w="2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0E8F5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B0D3B"/>
                <w:sz w:val="19"/>
                <w:szCs w:val="19"/>
              </w:rPr>
              <w:t xml:space="preserve">Mean sectional curvature K = 0.500 ≈ 1/2 across 50 random pairs (std 0.004). Consistent with a symmetric space.</w:t>
            </w:r>
          </w:p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The tight clustering of K around 0.500 across random tangent pairs is a signature of a symmetric space or space of constant curvature.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For the compact simple Lie group SU(n) with bi-invariant metric, all sectional curvatures are K = 1/4. For GL(d) the situation is more complex since GL(d) is non-compact, but the empirical K ≈ 0.5 is consistent with the dominant curvature contribution coming from the SU(128) ⊂ GL(128) compact factor.</w:t>
            </w:r>
          </w:p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Curvature along singular directions ranges from 0.016 to 1.486.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The curvature K(σ_1, σ_3) ≈ 0.016 (nearly flat) occurs between the dominant singular direction (σ_1 = 1.697) and a nearly equal singular direction (σ_3 = 1.026). The highest curvature K = 1.486 occurs between σ_1 and σ_5 (0.836), the most disparate singular value pair. High curvature between disparate directions indicates that the Lie bracket [X_1, X_5] is large: rotating from the dominant mode to the fifth mode is geometrically complex. This reflects the non-commutative structure of the encoder’s weight space.</w:t>
            </w:r>
          </w:p>
        </w:tc>
      </w:tr>
    </w:tbl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3B0D3B"/>
          <w:sz w:val="30"/>
          <w:szCs w:val="30"/>
        </w:rPr>
        <w:t xml:space="preserve">7. Ricci Curvature, Scalar Curvature, and Volume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The Ricci tensor Ric and scalar curvature R_scal are derived from the Riemann tensor by contraction. For our two geometric domains: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2800"/>
        <w:gridCol w:w="2400"/>
        <w:gridCol w:w="2600"/>
      </w:tblGrid>
      <w:tr>
        <w:trPr>
          <w:tblHeader/>
        </w:trPr>
        <w:tc>
          <w:tcPr>
            <w:tcW w:type="dxa" w:w="28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3B0D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Manifold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3B0D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Riemann tensor</w:t>
            </w:r>
          </w:p>
        </w:tc>
        <w:tc>
          <w:tcPr>
            <w:tcW w:type="dxa" w:w="28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3B0D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Ricci tensor</w:t>
            </w:r>
          </w:p>
        </w:tc>
        <w:tc>
          <w:tcPr>
            <w:tcW w:type="dxa" w:w="2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3B0D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Scalar curvature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3B0D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Statistical M_s = {N(μ,v₀)}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 = 0</w:t>
            </w:r>
          </w:p>
        </w:tc>
        <w:tc>
          <w:tcPr>
            <w:tcW w:type="dxa" w:w="28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Ric = 0</w:t>
            </w:r>
          </w:p>
        </w:tc>
        <w:tc>
          <w:tcPr>
            <w:tcW w:type="dxa" w:w="2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R_scal = 0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Flat: all curvature zero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Encoder M_W = GL(128)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K ≈ 0.500</w:t>
            </w:r>
          </w:p>
        </w:tc>
        <w:tc>
          <w:tcPr>
            <w:tcW w:type="dxa" w:w="28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Ric ≈ 63.6·g</w:t>
            </w:r>
          </w:p>
        </w:tc>
        <w:tc>
          <w:tcPr>
            <w:tcW w:type="dxa" w:w="2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R_scal ≈ 8,135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Positively curved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Feature M_f = (ℝ^d, g_enc)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 = 0</w:t>
            </w:r>
          </w:p>
        </w:tc>
        <w:tc>
          <w:tcPr>
            <w:tcW w:type="dxa" w:w="28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Ric = 0</w:t>
            </w:r>
          </w:p>
        </w:tc>
        <w:tc>
          <w:tcPr>
            <w:tcW w:type="dxa" w:w="2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R_scal = 0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Flat: linear encoder</w:t>
            </w:r>
          </w:p>
        </w:tc>
      </w:tr>
    </w:tbl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spacing w:before="60" w:after="100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The statistical manifold is flat in every geometric sense.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Riemann = Ricci = scalar curvature = 0. This is not an approximation but an exact result: the Gaussian family N(μ, diag(v₀)) with fixed v₀, parameterised by μ ∈ ℝ^d, is a flat Riemannian manifold isometric to (ℝ^d, diag(1/v₀)). The ‘curvature’ of information geometry comes from the non-trivial connection (dually flat, e-flat and m-flat as established in the Wasserstein paper), not from the Riemannian curvature tensor.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The encoder manifold GL(128) has Ricci curvature ≈ 63.6 and scalar curvature ≈ 8,135.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These are derived from the mean sectional curvature K ≈ 0.5 via the approximations Ric(X,X) ≈ (d−1)·K_avg·||X||^2 = 63.6·||X||^2 and R_scal ≈ d(d−1)·K_avg = 8,135. Positive Ricci curvature has implications for the encoder’s learning dynamics: by the Bonnet-Myers theorem, a compact Riemannian manifold with positive Ricci curvature has finite diameter bounded by π√(d/(n-1)K). For our values: diameter ≤ π√(128/(127×0.5)) ≈ 4.48, consistent with the observed encoder singular value range [0.128, 1.697].</w:t>
      </w:r>
    </w:p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3B0D3B"/>
          <w:sz w:val="30"/>
          <w:szCs w:val="30"/>
        </w:rPr>
        <w:t xml:space="preserve">8. Shape Operator of the Class Centroid Submanifold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1A8B"/>
          <w:sz w:val="25"/>
          <w:szCs w:val="25"/>
        </w:rPr>
        <w:t xml:space="preserve">8.1 The Delta Subspace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The K=10 class offset vectors {δ_1, ..., δ_K} span a subspace of ℝ^d. Their SVD reveals the intrinsic dimensionality of the class structure: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0A001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SVD of Δ (K×D = 10×128 matrix of class offsets):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Singular values: [2.107, 1.581, 1.437, 1.273, 1.010, 0.800, 0.768, 0.719, 0.389, 0.058]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Effective rank = 7.59  (of maximum K-1 = 9)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Numerical rank = 10   (all singular values &gt; 0.1% of σ_max)</w:t>
            </w:r>
          </w:p>
        </w:tc>
      </w:tr>
    </w:tbl>
    <w:p>
      <w:pPr>
        <w:spacing w:before="60" w:after="100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The delta subspace has effective rank 7.59 in ℝ^{128}.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All 10 singular values are non-negligible (numerical rank = 10 = K), confirming that the 10 classes occupy genuinely independent directions in latent space. The effective rank of 7.59 (vs maximum K−1 = 9) indicates that the 10 class offset directions are not uniformly distributed: the top 8 singular directions account for most of the variance, with the 9th and 10th contributing less. This is consistent with the RMT finding of 8 detectable spikes in the whitened covariance spectrum.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1A8B"/>
          <w:sz w:val="25"/>
          <w:szCs w:val="25"/>
        </w:rPr>
        <w:t xml:space="preserve">8.2 Per-Class Sample Covariance Geometry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2400"/>
        <w:gridCol w:w="2200"/>
        <w:gridCol w:w="2600"/>
      </w:tblGrid>
      <w:tr>
        <w:trPr>
          <w:tblHeader/>
        </w:trPr>
        <w:tc>
          <w:tcPr>
            <w:tcW w:type="dxa" w:w="2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3B0D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18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3B0D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tr(Σ_k)</w:t>
            </w:r>
          </w:p>
        </w:tc>
        <w:tc>
          <w:tcPr>
            <w:tcW w:type="dxa" w:w="18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3B0D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||Σ_k||_F</w:t>
            </w:r>
          </w:p>
        </w:tc>
        <w:tc>
          <w:tcPr>
            <w:tcW w:type="dxa" w:w="2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3B0D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λ_max(Σ_k)</w:t>
            </w:r>
          </w:p>
        </w:tc>
        <w:tc>
          <w:tcPr>
            <w:tcW w:type="dxa" w:w="2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3B0D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Isotropy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3B0D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Shape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net_normal</w:t>
            </w:r>
          </w:p>
        </w:tc>
        <w:tc>
          <w:tcPr>
            <w:tcW w:type="dxa" w:w="18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0.2358</w:t>
            </w:r>
          </w:p>
        </w:tc>
        <w:tc>
          <w:tcPr>
            <w:tcW w:type="dxa" w:w="18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0.1238</w:t>
            </w:r>
          </w:p>
        </w:tc>
        <w:tc>
          <w:tcPr>
            <w:tcW w:type="dxa" w:w="2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0.0908</w:t>
            </w:r>
          </w:p>
        </w:tc>
        <w:tc>
          <w:tcPr>
            <w:tcW w:type="dxa" w:w="2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Anisotropic ray (URL diversity)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net_scan</w:t>
            </w:r>
          </w:p>
        </w:tc>
        <w:tc>
          <w:tcPr>
            <w:tcW w:type="dxa" w:w="18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0.0862</w:t>
            </w:r>
          </w:p>
        </w:tc>
        <w:tc>
          <w:tcPr>
            <w:tcW w:type="dxa" w:w="18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0.0568</w:t>
            </w:r>
          </w:p>
        </w:tc>
        <w:tc>
          <w:tcPr>
            <w:tcW w:type="dxa" w:w="2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0.0457</w:t>
            </w:r>
          </w:p>
        </w:tc>
        <w:tc>
          <w:tcPr>
            <w:tcW w:type="dxa" w:w="2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Anisotropic ray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net_ddos</w:t>
            </w:r>
          </w:p>
        </w:tc>
        <w:tc>
          <w:tcPr>
            <w:tcW w:type="dxa" w:w="18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0.0218</w:t>
            </w:r>
          </w:p>
        </w:tc>
        <w:tc>
          <w:tcPr>
            <w:tcW w:type="dxa" w:w="18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0.0200</w:t>
            </w:r>
          </w:p>
        </w:tc>
        <w:tc>
          <w:tcPr>
            <w:tcW w:type="dxa" w:w="2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0.0200</w:t>
            </w:r>
          </w:p>
        </w:tc>
        <w:tc>
          <w:tcPr>
            <w:tcW w:type="dxa" w:w="2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Near-rank-1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net_exfil</w:t>
            </w:r>
          </w:p>
        </w:tc>
        <w:tc>
          <w:tcPr>
            <w:tcW w:type="dxa" w:w="18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0.0645</w:t>
            </w:r>
          </w:p>
        </w:tc>
        <w:tc>
          <w:tcPr>
            <w:tcW w:type="dxa" w:w="18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0.0308</w:t>
            </w:r>
          </w:p>
        </w:tc>
        <w:tc>
          <w:tcPr>
            <w:tcW w:type="dxa" w:w="2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0.0244</w:t>
            </w:r>
          </w:p>
        </w:tc>
        <w:tc>
          <w:tcPr>
            <w:tcW w:type="dxa" w:w="2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Anisotropic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net_c2</w:t>
            </w:r>
          </w:p>
        </w:tc>
        <w:tc>
          <w:tcPr>
            <w:tcW w:type="dxa" w:w="18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0.1351</w:t>
            </w:r>
          </w:p>
        </w:tc>
        <w:tc>
          <w:tcPr>
            <w:tcW w:type="dxa" w:w="18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0.0975</w:t>
            </w:r>
          </w:p>
        </w:tc>
        <w:tc>
          <w:tcPr>
            <w:tcW w:type="dxa" w:w="2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0.0816</w:t>
            </w:r>
          </w:p>
        </w:tc>
        <w:tc>
          <w:tcPr>
            <w:tcW w:type="dxa" w:w="2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Anisotropic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log_info</w:t>
            </w:r>
          </w:p>
        </w:tc>
        <w:tc>
          <w:tcPr>
            <w:tcW w:type="dxa" w:w="18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0.0005</w:t>
            </w:r>
          </w:p>
        </w:tc>
        <w:tc>
          <w:tcPr>
            <w:tcW w:type="dxa" w:w="18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0.0003</w:t>
            </w:r>
          </w:p>
        </w:tc>
        <w:tc>
          <w:tcPr>
            <w:tcW w:type="dxa" w:w="2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0.0002</w:t>
            </w:r>
          </w:p>
        </w:tc>
        <w:tc>
          <w:tcPr>
            <w:tcW w:type="dxa" w:w="2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0.005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Most isotropic (rigid format)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log_warn</w:t>
            </w:r>
          </w:p>
        </w:tc>
        <w:tc>
          <w:tcPr>
            <w:tcW w:type="dxa" w:w="18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0.0003</w:t>
            </w:r>
          </w:p>
        </w:tc>
        <w:tc>
          <w:tcPr>
            <w:tcW w:type="dxa" w:w="18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0.0002</w:t>
            </w:r>
          </w:p>
        </w:tc>
        <w:tc>
          <w:tcPr>
            <w:tcW w:type="dxa" w:w="2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0.0002</w:t>
            </w:r>
          </w:p>
        </w:tc>
        <w:tc>
          <w:tcPr>
            <w:tcW w:type="dxa" w:w="2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0.008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Most isotropic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log_error</w:t>
            </w:r>
          </w:p>
        </w:tc>
        <w:tc>
          <w:tcPr>
            <w:tcW w:type="dxa" w:w="18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0.0025</w:t>
            </w:r>
          </w:p>
        </w:tc>
        <w:tc>
          <w:tcPr>
            <w:tcW w:type="dxa" w:w="18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0.0019</w:t>
            </w:r>
          </w:p>
        </w:tc>
        <w:tc>
          <w:tcPr>
            <w:tcW w:type="dxa" w:w="2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0.0019</w:t>
            </w:r>
          </w:p>
        </w:tc>
        <w:tc>
          <w:tcPr>
            <w:tcW w:type="dxa" w:w="2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0.001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Near-rank-1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bin_malware</w:t>
            </w:r>
          </w:p>
        </w:tc>
        <w:tc>
          <w:tcPr>
            <w:tcW w:type="dxa" w:w="18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0.4624</w:t>
            </w:r>
          </w:p>
        </w:tc>
        <w:tc>
          <w:tcPr>
            <w:tcW w:type="dxa" w:w="18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0.1553</w:t>
            </w:r>
          </w:p>
        </w:tc>
        <w:tc>
          <w:tcPr>
            <w:tcW w:type="dxa" w:w="2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0.1003</w:t>
            </w:r>
          </w:p>
        </w:tc>
        <w:tc>
          <w:tcPr>
            <w:tcW w:type="dxa" w:w="2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Highest variance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bin_benign</w:t>
            </w:r>
          </w:p>
        </w:tc>
        <w:tc>
          <w:tcPr>
            <w:tcW w:type="dxa" w:w="18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0.4270</w:t>
            </w:r>
          </w:p>
        </w:tc>
        <w:tc>
          <w:tcPr>
            <w:tcW w:type="dxa" w:w="18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0.1363</w:t>
            </w:r>
          </w:p>
        </w:tc>
        <w:tc>
          <w:tcPr>
            <w:tcW w:type="dxa" w:w="2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0.0785</w:t>
            </w:r>
          </w:p>
        </w:tc>
        <w:tc>
          <w:tcPr>
            <w:tcW w:type="dxa" w:w="22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High variance</w:t>
            </w:r>
          </w:p>
        </w:tc>
      </w:tr>
    </w:tbl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spacing w:before="60" w:after="100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Log classes have 500× smaller covariance trace than binary classes.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tr(Σ_k) ranges from 0.0003 (log_warn) to 0.4624 (bin_malware), a 1,541× range. The sample clouds of each class have a shape dictated by the within-class variance of the parsed features. Log classes, with rigid format, produce near-degenerate distributions (isotropy ≈ 0.005–0.008). Binary classes, with random payloads, produce diffuse distributions (isotropy ≈ 0). The low isotropy (0.000–0.008) for all classes confirms that the within-class distributions are highly anisotropic — each class occupies a low-dimensional submanifold of the d=128-dimensional latent space, not a spherical cloud.</w:t>
      </w:r>
    </w:p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3B0D3B"/>
          <w:sz w:val="30"/>
          <w:szCs w:val="30"/>
        </w:rPr>
        <w:t xml:space="preserve">9. Exponential Map, Logarithmic Map, and Geodesics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1A8B"/>
          <w:sz w:val="25"/>
          <w:szCs w:val="25"/>
        </w:rPr>
        <w:t xml:space="preserve">9.1 The Statistical Manifold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On the flat statistical manifold, the exponential and logarithmic maps are linear: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0A001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exp_μ(v) = μ + v   (flat: exp is just translation)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log_μ(ν) = ν - μ   (flat: log is subtraction)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Geodesic γ_{μ,ν}(t) = μ + t(ν - μ) = (1-t)μ + tν   (straight line, t ∈ [0,1])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Class centroid geodesic: γ_k(t) = μ_0 + t·δ_k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Geodesic speed ||dγ/dt||_G = ||d_k||_G (Fisher distance from prior):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  Range: [6.17 (net_normal), 11.53 (bin_malware)]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1A8B"/>
          <w:sz w:val="25"/>
          <w:szCs w:val="25"/>
        </w:rPr>
        <w:t xml:space="preserve">9.2 The Full NIG Manifold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If class-specific variances v_k were allowed (the full NIG model), the manifold of (mean, variance) parameters would have non-trivial curvature. The variance component lives in ℝ^d_+ with the log-metric d(v, w) = ||log(v/w)||, giving: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0A001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Sectional curvature of (ℝ^d_+, g_var) = -1/2  (hyperbolic half-space model)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Geodesic on ℝ^d_+: v(t) = v_0^{1-t} ⊙ v_1^t  (geometric interpolation)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In CyphaDIF: all classes share v₀ ⇒ all classes at the same point in variance space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The class manifold is the fibre {μ ∈ ℝ^d} × {v₀} ⊂ NIG manifold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Curvature contribution from variance: 0  (all classes at same variance point)</w:t>
            </w:r>
          </w:p>
        </w:tc>
      </w:tr>
    </w:tbl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3B0D3B"/>
          <w:sz w:val="30"/>
          <w:szCs w:val="30"/>
        </w:rPr>
        <w:t xml:space="preserve">10. Jacobi Fields and Geodesic Stability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1A8B"/>
          <w:sz w:val="25"/>
          <w:szCs w:val="25"/>
        </w:rPr>
        <w:t xml:space="preserve">10.1 Theoretical Analysis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 Jacobi field J along a geodesic γ measures the deviation between nearby geodesics. It satisfies the Jacobi equation: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0A001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D²J/dt² + R(J, γ')γ' = 0   (Jacobi equation)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For flat manifolds (R = 0):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D²J/dt² = 0  ⇒  J(t) = J_0 + t·J_0'  (linear growth)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Lyapunov exponent λ = lim_{t→∞} (1/t) log||J(t)|| = 0  (neutral stability)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Geodesics are neither focusing (K&lt;0 case) nor defocusing (K&gt;0 case).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1A8B"/>
          <w:sz w:val="25"/>
          <w:szCs w:val="25"/>
        </w:rPr>
        <w:t xml:space="preserve">10.2 Empirical Geodesic Stability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We test geodesic stability by perturbing a point along the geodesic from the net_ddos centroid toward the nearest class (net_normal), and measuring how the LLR gap changes: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2000"/>
        <w:gridCol w:w="2600"/>
      </w:tblGrid>
      <w:tr>
        <w:trPr>
          <w:tblHeader/>
        </w:trPr>
        <w:tc>
          <w:tcPr>
            <w:tcW w:type="dxa" w:w="3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3B0D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Distance ε along geodesic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3B0D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LLR (net_ddos)</w:t>
            </w:r>
          </w:p>
        </w:tc>
        <w:tc>
          <w:tcPr>
            <w:tcW w:type="dxa" w:w="20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3B0D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LLR gap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3B0D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Correctly classified?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 (centroid)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+57.54</w:t>
            </w:r>
          </w:p>
        </w:tc>
        <w:tc>
          <w:tcPr>
            <w:tcW w:type="dxa" w:w="20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82.24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Yes (margin = 82.2)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0.1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+50.07</w:t>
            </w:r>
          </w:p>
        </w:tc>
        <w:tc>
          <w:tcPr>
            <w:tcW w:type="dxa" w:w="20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72.06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0.5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+20.20</w:t>
            </w:r>
          </w:p>
        </w:tc>
        <w:tc>
          <w:tcPr>
            <w:tcW w:type="dxa" w:w="20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31.34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−17.15</w:t>
            </w:r>
          </w:p>
        </w:tc>
        <w:tc>
          <w:tcPr>
            <w:tcW w:type="dxa" w:w="20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−19.55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No (flip at ε ≈ 0.9)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−91.84</w:t>
            </w:r>
          </w:p>
        </w:tc>
        <w:tc>
          <w:tcPr>
            <w:tcW w:type="dxa" w:w="20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−121.3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5.0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−315.9</w:t>
            </w:r>
          </w:p>
        </w:tc>
        <w:tc>
          <w:tcPr>
            <w:tcW w:type="dxa" w:w="20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−426.7</w:t>
            </w:r>
          </w:p>
        </w:tc>
        <w:tc>
          <w:tcPr>
            <w:tcW w:type="dxa" w:w="2600"/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No</w:t>
            </w:r>
          </w:p>
        </w:tc>
      </w:tr>
    </w:tbl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F0E8F5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B0D3B"/>
                <w:sz w:val="19"/>
                <w:szCs w:val="19"/>
              </w:rPr>
              <w:t xml:space="preserve">LLR decays linearly with distance ε (slope −75.5/unit), consistent with flat geometry. Classification flips at ε ≈ 0.9.</w:t>
            </w:r>
          </w:p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The linear decay of LLR with ε is exactly what flat geometry predicts.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Along the geodesic toward net_normal, the net_ddos score LLR_{net_ddos}(h) decreases linearly because h → h + ε·v and LLR is linear in h. The slope is d(LLR_{net_ddos})/dε = ⟨w_{net_ddos}, v⟩ where v is the unit geodesic direction. This is a constant (ε-independent) as expected for a flat manifold with linear LLR functions. On a curved manifold with K &gt; 0, geodesics would defocus and the LLR would decrease faster than linear; for K &lt; 0, slower. The flat K = 0 case gives exactly linear decay.</w:t>
            </w:r>
          </w:p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Classification boundary crossed at ε ≈ 0.9 (midpoint of geodesic at ε = 1.0).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The geodesic from the net_ddos centroid (μ_{ddos}) to the net_normal centroid (μ_{normal}) has length d_G(μ_{ddos}, μ_{normal}) = 12.37 in Fisher units. The boundary is at the midpoint t = 0.5, corresponding to absolute distance ε ≈ 0.9 in the latent space units used. This is consistent with the convex analysis finding that all boundaries pass through the geodesic midpoints.</w:t>
            </w:r>
          </w:p>
        </w:tc>
      </w:tr>
    </w:tbl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3B0D3B"/>
          <w:sz w:val="30"/>
          <w:szCs w:val="30"/>
        </w:rPr>
        <w:t xml:space="preserve">11. Cartan Moving Frame and Differential Forms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1A8B"/>
          <w:sz w:val="25"/>
          <w:szCs w:val="25"/>
        </w:rPr>
        <w:t xml:space="preserve">11.1 Moving Frame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The encoder W defines a global frame field on the feature space: e_i = columns of W⁻¹ (the pullback of the standard coordinate frame). This frame is defined everywhere on ℝ^d (since W ∈ GL(d) is invertible) and is anholonomic (non-coordinate-aligned) in general.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0A001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Moving frame: {e_1, ..., e_d} = columns of W^{-1}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Co-frame: {θ^1, ..., θ^d} = rows of W  (dual frame: θ^i(e_j) = δ^i_j)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Gram matrix in Fisher metric: G(e_i, e_j) = (W^{-T} G_0 W^{-1})_{ij} = (g_enc^{-1})_{ij}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||Gram - I||_F = 7,755.2   (W is NOT Fisher-orthonormal)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(For a Fisher-orthonormal frame: W would satisfy W^T G_0 W = I)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1A8B"/>
          <w:sz w:val="25"/>
          <w:szCs w:val="25"/>
        </w:rPr>
        <w:t xml:space="preserve">11.2 Maurer-Cartan Form and Curvature 2-Form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The Maurer-Cartan form is the gl(d)-valued 1-form ω = W⁻¹ dW defined on GL(d). Evaluated on a tangent vector V at W, it gives ω_W(V) = W⁻¹V ∈ gl(d). The curvature 2-form is Ω = dω + ω ∧ ω.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A3AAC" w:sz="1"/>
              <w:left w:val="single" w:color="7A3AAC" w:sz="1"/>
              <w:bottom w:val="single" w:color="7A3AAC" w:sz="1"/>
              <w:right w:val="single" w:color="7A3AAC" w:sz="1"/>
            </w:tcBorders>
            <w:shd w:fill="0A001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Maurer-Cartan structure equation: dω + ω ∧ ω = 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  ⇒  Ω = 0   (flat connection on GL(d) via MC form)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||MC form ω(V_i)||_F for top singular directions: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  mean=1.246, min=0.589, max=1.890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8A8E8"/>
                <w:sz w:val="17"/>
                <w:szCs w:val="17"/>
              </w:rPr>
              <w:t xml:space="preserve">Torsion T^i = de^i + ω^i_j ∧ e^j = 0  (torsion-free)</w:t>
            </w:r>
          </w:p>
        </w:tc>
      </w:tr>
    </w:tbl>
    <w:p>
      <w:pPr>
        <w:spacing w:before="60" w:after="100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The Maurer-Cartan form gives a flat connection on the frame bundle.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The curvature 2-form Ω = 0 by the MC structure equation — this is exact, not approximate. However, the non-zero ||Gram − I||_F = 7,755 shows that the frame e_i is far from being a Fisher-orthonormal frame. The frame is adapted to the encoder W, not to the Fisher geometry. Constructing a Fisher-orthonormal frame would require a Gram-Schmidt orthogonalisation with respect to G₀, yielding a new frame {f_i} with G(f_i, f_j) = δ_{ij} but destroying the natural Lie group structure that the MC form encodes.</w:t>
      </w:r>
    </w:p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3B0D3B"/>
          <w:sz w:val="30"/>
          <w:szCs w:val="30"/>
        </w:rPr>
        <w:t xml:space="preserve">12. Synthesis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The statistical manifold is flat (K = 0) in every differential-geometric sense.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All Christoffel symbols, Riemann tensor components, Jacobi field growth rates, and angle defects are exactly zero. Geodesics are straight lines, parallel transport is trivial, and the holonomy group is {Id}. The Gaussian family with fixed variance is, metrically, a copy of (ℝ^d, G₀) — a flat Riemannian manifold.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Decision boundaries are totally geodesic and Bayes-optimal in Fisher metric.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All 45 boundaries have κ_g = 0 (zero geodesic curvature), are perpendicular to the class geodesic (angle 0.000° to machine precision), and pass through the midpoint of each class pair’s geodesic. This is the geometric characterisation of Bayes-optimal classification under equal-prior Gaussians with shared covariance.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The encoder manifold GL(128) has positive sectional curvature K ≈ 0.500.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The tight clustering of K around 1/2 (std 0.004) suggests the encoder has been shaped by the contrastive training to occupy a geometrically regular region of GL(128). The polar decomposition reveals a large improper rotation Q (||Q−I||_F = 16.46, angle 93.4°) and a strongly anisotropic stretching P (condition number 203.96, effective rank 51.38).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Jacobi fields grow linearly on the flat manifold (λ = 0).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This implies geometric stability: nearby geodesics diverge at most linearly. The empirical test confirms linear LLR decay along geodesics, with boundary crossing at ε ≈ 0.9 (midpoint of the geodesic to the nearest class). No exponential mixing or focusing occurs.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The Cartan frame is non-orthonormal (||Gram−I||_F = 7,755) but torsion-free.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The encoder W defines a global frame field with zero torsion and zero curvature 2-form (MC structure equation), but the frame is far from Fisher-orthonormal. This encodes the encoder’s geometric distortion: the 128 coordinate axes it defines are not aligned with the natural precision-weighted orthogonal axes of the Fisher metric.</w:t>
      </w:r>
    </w:p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3B0D3B"/>
          <w:sz w:val="30"/>
          <w:szCs w:val="30"/>
        </w:rPr>
        <w:t xml:space="preserve">References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[1] do Carmo, M. P. (1992). Riemannian Geometry. Birkhäuser.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[2] Lee, J. M. (2018). Introduction to Riemannian Manifolds (2nd ed.). Springer.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[3] Amari, S., &amp; Nagaoka, H. (2000). Methods of Information Geometry. AMS.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[4] Amari, S. (2016). Information Geometry and Its Applications. Springer.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[5] Murray, M. K., &amp; Rice, J. W. (1993). Differential Geometry and Statistics. Chapman &amp; Hall.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[6] Milnor, J. (1976). Curvatures of left invariant metrics on Lie groups. Advances in Mathematics, 21(3), 293–329.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[7] Cartan, É. (1926). La géométrie des espaces de Riemann. Mémorial des sciences mathématiques, Fasc. 9.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[8] Bishop, R. L., &amp; Crittenden, R. J. (1964). Geometry of Manifolds. Academic Press.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[9] Kobayashi, S., &amp; Nomizu, K. (1963). Foundations of Differential Geometry, Vol. I. Wiley.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[10] Cheeger, J., &amp; Ebin, D. G. (1975). Comparison Theorems in Riemannian Geometry. North-Holland.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[11] Bhatia, R. (2007). Positive Definite Matrices. Princeton University Press.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[12] Moakher, M. (2005). A differential geometric approach to the geometric mean of symmetric positive-definite matrices. SIAM Journal on Matrix Analysis and Applications, 26(3), 735–747.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[13] Pennec, X., Fillard, P., &amp; Ayache, N. (2006). A Riemannian framework for tensor computing. International Journal of Computer Vision, 66(1), 41–66.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[14] Skovgaard, L. T. (1984). A Riemannian geometry of the multivariate normal model. Scandinavian Journal of Statistics, 11(4), 211–223.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[15] Eriksen, E. (1987). On the measures of geodesic curvature on statistical manifolds. Journal of Statistical Planning and Inference, 15, 281–292.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[16] Murray, M. K. (1993). The geometry of Gaussian distributions. Geometry and Statistics, 22, 165–183.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[17] Petersen, P. (2016). Riemannian Geometry (3rd ed.). Springer.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[18] Gallot, S., Hulin, D., &amp; Lafontaine, J. (2004). Riemannian Geometry (3rd ed.). Springer.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[19] Jost, J. (2011). Riemannian Geometry and Geometric Analysis (6th ed.). Springer.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[20] Postnikov, M. M. (2001). Geometry VI: Riemannian Geometry. Springer.</w:t>
      </w:r>
    </w:p>
    <w:sectPr>
      <w:foot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666666"/>
        <w:sz w:val="18"/>
        <w:szCs w:val="18"/>
      </w:rPr>
      <w:t xml:space="preserve">CyphaDIF: Differential Geometry  |  Page </w:t>
    </w:r>
    <w:r>
      <w:rPr>
        <w:rFonts w:ascii="Georgia" w:cs="Georgia" w:eastAsia="Georgia" w:hAnsi="Georgia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i/>
        <w:iCs/>
        <w:color w:val="666666"/>
        <w:sz w:val="18"/>
        <w:szCs w:val="18"/>
      </w:rPr>
      <w:t xml:space="preserve">  |  Unpublished Technical Report —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3B0D3B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6B1A8B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D0D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2026-03-10T09:12:22.510Z</dcterms:created>
  <dcterms:modified xsi:type="dcterms:W3CDTF">2026-03-10T09:12:22.511Z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