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1A5E" w:val="clear"/>
            <w:tcMar>
              <w:top w:type="dxa" w:w="520"/>
              <w:left w:type="dxa" w:w="520"/>
              <w:bottom w:type="dxa" w:w="520"/>
              <w:right w:type="dxa" w:w="520"/>
            </w:tcMar>
          </w:tcPr>
          <w:p>
            <w:pPr>
              <w:spacing w:before="0" w:after="100"/>
              <w:jc w:val="center"/>
            </w:pPr>
            <w:r>
              <w:rPr>
                <w:rFonts w:ascii="Arial" w:cs="Arial" w:eastAsia="Arial" w:hAnsi="Arial"/>
                <w:b/>
                <w:bCs/>
                <w:color w:val="FFFFFF"/>
                <w:sz w:val="42"/>
                <w:szCs w:val="42"/>
              </w:rPr>
              <w:t xml:space="preserve">Convex Analysis and Duality Theory</w:t>
            </w:r>
          </w:p>
          <w:p>
            <w:pPr>
              <w:spacing w:before="0" w:after="140"/>
              <w:jc w:val="center"/>
            </w:pPr>
            <w:r>
              <w:rPr>
                <w:rFonts w:ascii="Arial" w:cs="Arial" w:eastAsia="Arial" w:hAnsi="Arial"/>
                <w:b/>
                <w:bCs/>
                <w:color w:val="FFFFFF"/>
                <w:sz w:val="38"/>
                <w:szCs w:val="38"/>
              </w:rPr>
              <w:t xml:space="preserve">Applied to the Differential Information Field Classifier</w:t>
            </w:r>
          </w:p>
          <w:p>
            <w:pPr>
              <w:spacing w:before="0" w:after="90"/>
              <w:jc w:val="center"/>
            </w:pPr>
            <w:r>
              <w:rPr>
                <w:rFonts w:ascii="Arial" w:cs="Arial" w:eastAsia="Arial" w:hAnsi="Arial"/>
                <w:i/>
                <w:iCs/>
                <w:color w:val="C0B0F8"/>
                <w:sz w:val="21"/>
                <w:szCs w:val="21"/>
              </w:rPr>
              <w:t xml:space="preserve">Primal Argmax • SVM Duality • KKT Conditions • Fenchel Conjugate • Bregman Divergence • Decision Polytopes</w:t>
            </w:r>
          </w:p>
          <w:p>
            <w:pPr>
              <w:spacing w:before="60" w:after="0"/>
              <w:jc w:val="center"/>
            </w:pPr>
            <w:r>
              <w:rPr>
                <w:rFonts w:ascii="Arial" w:cs="Arial" w:eastAsia="Arial" w:hAnsi="Arial"/>
                <w:color w:val="9080D8"/>
                <w:sz w:val="20"/>
                <w:szCs w:val="20"/>
              </w:rPr>
              <w:t xml:space="preserve">Unpublished Technical Report — 2026</w:t>
            </w:r>
          </w:p>
        </w:tc>
      </w:tr>
    </w:tbl>
    <w:p>
      <w:pPr>
        <w:spacing w:before="440" w:after="0"/>
      </w:pPr>
      <w:r>
        <w:rPr>
          <w:rFonts w:ascii="Georgia" w:cs="Georgia" w:eastAsia="Georgia" w:hAnsi="Georgia"/>
          <w:color w:val="1A1A1A"/>
          <w:sz w:val="20"/>
          <w:szCs w:val="20"/>
        </w:rPr>
        <w:t xml:space="preserve"/>
      </w:r>
    </w:p>
    <w:p>
      <w:pPr>
        <w:spacing w:before="0" w:after="80"/>
      </w:pPr>
      <w:r>
        <w:rPr>
          <w:rFonts w:ascii="Arial" w:cs="Arial" w:eastAsia="Arial" w:hAnsi="Arial"/>
          <w:b/>
          <w:bCs/>
          <w:color w:val="1A1A5E"/>
          <w:sz w:val="24"/>
          <w:szCs w:val="24"/>
        </w:rPr>
        <w:t xml:space="preserve">Abstract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E4DFFA" w:val="clear"/>
            <w:tcMar>
              <w:top w:type="dxa" w:w="140"/>
              <w:left w:type="dxa" w:w="260"/>
              <w:bottom w:type="dxa" w:w="140"/>
              <w:right w:type="dxa" w:w="260"/>
            </w:tcMar>
          </w:tcPr>
          <w:p>
            <w:pPr>
              <w:spacing w:before="60" w:after="100"/>
              <w:jc w:val="both"/>
            </w:pPr>
            <w:r>
              <w:rPr>
                <w:rFonts w:ascii="Georgia" w:cs="Georgia" w:eastAsia="Georgia" w:hAnsi="Georgia"/>
                <w:color w:val="1A1A1A"/>
                <w:sz w:val="20"/>
                <w:szCs w:val="20"/>
              </w:rPr>
              <w:t xml:space="preserve">We apply convex analysis and duality theory to the CyphaDIF classifier, characterising the primal and dual structure of the multi-class argmax decision rule, the geometry of the induced convex decision polytopes, the Fenchel conjugate duality of the log-partition function, and the Bregman divergence between class representations. Ten probes are conducted. Key findings: </w:t>
            </w:r>
            <w:r>
              <w:rPr>
                <w:rFonts w:ascii="Georgia" w:cs="Georgia" w:eastAsia="Georgia" w:hAnsi="Georgia"/>
                <w:b/>
                <w:bCs/>
                <w:color w:val="1A1A1A"/>
                <w:sz w:val="20"/>
                <w:szCs w:val="20"/>
              </w:rPr>
              <w:t xml:space="preserve">(1)</w:t>
            </w:r>
            <w:r>
              <w:rPr>
                <w:rFonts w:ascii="Georgia" w:cs="Georgia" w:eastAsia="Georgia" w:hAnsi="Georgia"/>
                <w:color w:val="1A1A1A"/>
                <w:sz w:val="20"/>
                <w:szCs w:val="20"/>
              </w:rPr>
              <w:t xml:space="preserve"> The classification rule is a linear argmax: k*(h) = argmax_k [⟨w_k, h⟩ + b_k] where w_k = δ_k/v₀ (precision-weighted class offset) and b_k includes an epistemic penalty. This formula is verified to agree exactly with the classifier output across 200 test samples. </w:t>
            </w:r>
            <w:r>
              <w:rPr>
                <w:rFonts w:ascii="Georgia" w:cs="Georgia" w:eastAsia="Georgia" w:hAnsi="Georgia"/>
                <w:b/>
                <w:bCs/>
                <w:color w:val="1A1A1A"/>
                <w:sz w:val="20"/>
                <w:szCs w:val="20"/>
              </w:rPr>
              <w:t xml:space="preserve">(2)</w:t>
            </w:r>
            <w:r>
              <w:rPr>
                <w:rFonts w:ascii="Georgia" w:cs="Georgia" w:eastAsia="Georgia" w:hAnsi="Georgia"/>
                <w:color w:val="1A1A1A"/>
                <w:sz w:val="20"/>
                <w:szCs w:val="20"/>
              </w:rPr>
              <w:t xml:space="preserve"> The geometric margin between classes i and j is 2/‖w_i−w_j‖, ranging from 0.0130 (net_c2↔bin_malware, hardest) to 0.0246 (bin_malware↔bin_benign, easiest) — a ratio of 1.89× across all 45 class pairs. </w:t>
            </w:r>
            <w:r>
              <w:rPr>
                <w:rFonts w:ascii="Georgia" w:cs="Georgia" w:eastAsia="Georgia" w:hAnsi="Georgia"/>
                <w:b/>
                <w:bCs/>
                <w:color w:val="1A1A1A"/>
                <w:sz w:val="20"/>
                <w:szCs w:val="20"/>
              </w:rPr>
              <w:t xml:space="preserve">(3)</w:t>
            </w:r>
            <w:r>
              <w:rPr>
                <w:rFonts w:ascii="Georgia" w:cs="Georgia" w:eastAsia="Georgia" w:hAnsi="Georgia"/>
                <w:color w:val="1A1A1A"/>
                <w:sz w:val="20"/>
                <w:szCs w:val="20"/>
              </w:rPr>
              <w:t xml:space="preserve"> KKT conditions are satisfied at all 45 decision boundaries to machine precision (max LLR gap = 5.33×10⁻¹⁴). The boundary crossing location is exactly t* = 0.5000 for every pair, proving the classifier implements the Bayes-optimal boundary for equal-prior Gaussian classes. </w:t>
            </w:r>
            <w:r>
              <w:rPr>
                <w:rFonts w:ascii="Georgia" w:cs="Georgia" w:eastAsia="Georgia" w:hAnsi="Georgia"/>
                <w:b/>
                <w:bCs/>
                <w:color w:val="1A1A1A"/>
                <w:sz w:val="20"/>
                <w:szCs w:val="20"/>
              </w:rPr>
              <w:t xml:space="preserve">(4)</w:t>
            </w:r>
            <w:r>
              <w:rPr>
                <w:rFonts w:ascii="Georgia" w:cs="Georgia" w:eastAsia="Georgia" w:hAnsi="Georgia"/>
                <w:color w:val="1A1A1A"/>
                <w:sz w:val="20"/>
                <w:szCs w:val="20"/>
              </w:rPr>
              <w:t xml:space="preserve"> The dual gap G(h) = LLR₁ − LLR₂ (difference of top two log-likelihood ratios) has Spearman correlation ρ = 0.995 with softmax confidence — a near-perfect monotone relationship despite only Pearson r = 0.129. At T = 2.5 the relationship is monotone but highly nonlinear (softmax saturates). </w:t>
            </w:r>
            <w:r>
              <w:rPr>
                <w:rFonts w:ascii="Georgia" w:cs="Georgia" w:eastAsia="Georgia" w:hAnsi="Georgia"/>
                <w:b/>
                <w:bCs/>
                <w:color w:val="1A1A1A"/>
                <w:sz w:val="20"/>
                <w:szCs w:val="20"/>
              </w:rPr>
              <w:t xml:space="preserve">(5)</w:t>
            </w:r>
            <w:r>
              <w:rPr>
                <w:rFonts w:ascii="Georgia" w:cs="Georgia" w:eastAsia="Georgia" w:hAnsi="Georgia"/>
                <w:color w:val="1A1A1A"/>
                <w:sz w:val="20"/>
                <w:szCs w:val="20"/>
              </w:rPr>
              <w:t xml:space="preserve"> Each decision region is a convex polytope with inradius 0.467–0.662. The solid angle at 2×inradius equals 1.000 for every class: every random direction from each centroid remains within the correct decision region at this scale, a consequence of the centroids being deeply embedded in their polytopes in 128 dimensions. </w:t>
            </w:r>
            <w:r>
              <w:rPr>
                <w:rFonts w:ascii="Georgia" w:cs="Georgia" w:eastAsia="Georgia" w:hAnsi="Georgia"/>
                <w:b/>
                <w:bCs/>
                <w:color w:val="1A1A1A"/>
                <w:sz w:val="20"/>
                <w:szCs w:val="20"/>
              </w:rPr>
              <w:t xml:space="preserve">(6)</w:t>
            </w:r>
            <w:r>
              <w:rPr>
                <w:rFonts w:ascii="Georgia" w:cs="Georgia" w:eastAsia="Georgia" w:hAnsi="Georgia"/>
                <w:color w:val="1A1A1A"/>
                <w:sz w:val="20"/>
                <w:szCs w:val="20"/>
              </w:rPr>
              <w:t xml:space="preserve"> The Bregman divergence D_A(μ_k, μ_j) = T·KL(p(μ_j)‖p(μ_k)) is nearly symmetric (asymmetry &lt; 2.4×10⁻⁵) and strongly correlated with Euclidean centroid distance (r = 0.979), confirming that convex geometry tracks Euclidean geometry closely at T = 2.5. The world prior μ₀ maps to net_normal with dual gap 13.07.</w:t>
            </w:r>
          </w:p>
        </w:tc>
      </w:tr>
    </w:tbl>
    <w:p>
      <w:pPr>
        <w:spacing w:before="2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1. Introduction</w:t>
      </w:r>
    </w:p>
    <w:p>
      <w:pPr>
        <w:spacing w:before="60" w:after="100"/>
        <w:jc w:val="both"/>
      </w:pPr>
      <w:r>
        <w:rPr>
          <w:rFonts w:ascii="Georgia" w:cs="Georgia" w:eastAsia="Georgia" w:hAnsi="Georgia"/>
          <w:color w:val="1A1A1A"/>
          <w:sz w:val="20"/>
          <w:szCs w:val="20"/>
        </w:rPr>
        <w:t xml:space="preserve">The CyphaDIF classifier’s decision rule is, at its core, a constrained optimisation problem solved in closed form. Each prediction is the solution to a linear argmax over the K class log-likelihood ratios (LLRs). Convex analysis provides the tools to characterise this optimisation — its dual problem, the geometry of its feasible set, the conditions that hold at optimality, and the information-theoretic meaning of its objective.</w:t>
      </w:r>
    </w:p>
    <w:p>
      <w:pPr>
        <w:spacing w:before="60" w:after="100"/>
        <w:jc w:val="both"/>
      </w:pPr>
      <w:r>
        <w:rPr>
          <w:rFonts w:ascii="Georgia" w:cs="Georgia" w:eastAsia="Georgia" w:hAnsi="Georgia"/>
          <w:color w:val="1A1A1A"/>
          <w:sz w:val="20"/>
          <w:szCs w:val="20"/>
        </w:rPr>
        <w:t xml:space="preserve">We analyse three levels of convex structure. At the function level: the log-partition function A(h) = T log Σ_k exp(LLR_k(h)/T) is convex in h, with a well-characterised Fenchel conjugate. At the set level: each decision region R_k = {h : LLR_k(h) ≥ LLR_j(h) ∀j} is a convex polytope with K−1 supporting hyperplanes. At the optimisation level: the dual of the linear argmax is an SVM-like max-margin problem, with geometric margins that quantify pair-wise separability. The Bregman divergence induced by A provides a natural asymmetric “convex distance” between class representations.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2. Primal Formulation: Linear Argmax</w:t>
      </w:r>
    </w:p>
    <w:p>
      <w:pPr>
        <w:pStyle w:val="Heading2"/>
        <w:spacing w:before="280" w:after="120"/>
      </w:pPr>
      <w:r>
        <w:rPr>
          <w:rFonts w:ascii="Arial" w:cs="Arial" w:eastAsia="Arial" w:hAnsi="Arial"/>
          <w:b/>
          <w:bCs/>
          <w:color w:val="3D1A8B"/>
          <w:sz w:val="25"/>
          <w:szCs w:val="25"/>
        </w:rPr>
        <w:t xml:space="preserve">2.1 LLR Decomposition</w:t>
      </w:r>
    </w:p>
    <w:p>
      <w:pPr>
        <w:spacing w:before="60" w:after="100"/>
        <w:jc w:val="both"/>
      </w:pPr>
      <w:r>
        <w:rPr>
          <w:rFonts w:ascii="Georgia" w:cs="Georgia" w:eastAsia="Georgia" w:hAnsi="Georgia"/>
          <w:color w:val="1A1A1A"/>
          <w:sz w:val="20"/>
          <w:szCs w:val="20"/>
        </w:rPr>
        <w:t xml:space="preserve">The CyphaDIF log-likelihood ratio for class k at latent vector h ∈ ℝ¹²⁸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06040E" w:val="clear"/>
            <w:tcMar>
              <w:top w:type="dxa" w:w="120"/>
              <w:left w:type="dxa" w:w="220"/>
              <w:bottom w:type="dxa" w:w="120"/>
              <w:right w:type="dxa" w:w="220"/>
            </w:tcMar>
          </w:tcPr>
          <w:p>
            <w:pPr>
              <w:spacing w:before="14" w:after="14"/>
            </w:pPr>
            <w:r>
              <w:rPr>
                <w:rFonts w:ascii="Courier New" w:cs="Courier New" w:eastAsia="Courier New" w:hAnsi="Courier New"/>
                <w:color w:val="B8A8F8"/>
                <w:sz w:val="17"/>
                <w:szCs w:val="17"/>
              </w:rPr>
              <w:t xml:space="preserve">LLR_k(h) = log p(h | μ₀ + δ_k, v₀) − log p(h | μ₀, v₀) − u_k</w:t>
            </w:r>
          </w:p>
          <w:p>
            <w:pPr>
              <w:spacing w:before="14" w:after="14"/>
            </w:pPr>
            <w:r>
              <w:rPr>
                <w:rFonts w:ascii="Courier New" w:cs="Courier New" w:eastAsia="Courier New" w:hAnsi="Courier New"/>
                <w:color w:val="B8A8F8"/>
                <w:sz w:val="17"/>
                <w:szCs w:val="17"/>
              </w:rPr>
              <w:t xml:space="preserve"/>
            </w:r>
          </w:p>
          <w:p>
            <w:pPr>
              <w:spacing w:before="14" w:after="14"/>
            </w:pPr>
            <w:r>
              <w:rPr>
                <w:rFonts w:ascii="Courier New" w:cs="Courier New" w:eastAsia="Courier New" w:hAnsi="Courier New"/>
                <w:color w:val="B8A8F8"/>
                <w:sz w:val="17"/>
                <w:szCs w:val="17"/>
              </w:rPr>
              <w:t xml:space="preserve">Both likelihoods: N(μ, diag(v₀)), so the log-ratio simplifies to:</w:t>
            </w:r>
          </w:p>
          <w:p>
            <w:pPr>
              <w:spacing w:before="14" w:after="14"/>
            </w:pPr>
            <w:r>
              <w:rPr>
                <w:rFonts w:ascii="Courier New" w:cs="Courier New" w:eastAsia="Courier New" w:hAnsi="Courier New"/>
                <w:color w:val="B8A8F8"/>
                <w:sz w:val="17"/>
                <w:szCs w:val="17"/>
              </w:rPr>
              <w:t xml:space="preserve"/>
            </w:r>
          </w:p>
          <w:p>
            <w:pPr>
              <w:spacing w:before="14" w:after="14"/>
            </w:pPr>
            <w:r>
              <w:rPr>
                <w:rFonts w:ascii="Courier New" w:cs="Courier New" w:eastAsia="Courier New" w:hAnsi="Courier New"/>
                <w:color w:val="B8A8F8"/>
                <w:sz w:val="17"/>
                <w:szCs w:val="17"/>
              </w:rPr>
              <w:t xml:space="preserve">LLR_k(h) = ⟨δ_k/v₀, h − μ₀⟩ − ‖δ_k‖²_V/2 − u_k</w:t>
            </w:r>
          </w:p>
          <w:p>
            <w:pPr>
              <w:spacing w:before="14" w:after="14"/>
            </w:pPr>
            <w:r>
              <w:rPr>
                <w:rFonts w:ascii="Courier New" w:cs="Courier New" w:eastAsia="Courier New" w:hAnsi="Courier New"/>
                <w:color w:val="B8A8F8"/>
                <w:sz w:val="17"/>
                <w:szCs w:val="17"/>
              </w:rPr>
              <w:t xml:space="preserve">         = ⟨w_k, h⟩ + b_k                                    [linear in h]</w:t>
            </w:r>
          </w:p>
          <w:p>
            <w:pPr>
              <w:spacing w:before="14" w:after="14"/>
            </w:pPr>
            <w:r>
              <w:rPr>
                <w:rFonts w:ascii="Courier New" w:cs="Courier New" w:eastAsia="Courier New" w:hAnsi="Courier New"/>
                <w:color w:val="B8A8F8"/>
                <w:sz w:val="17"/>
                <w:szCs w:val="17"/>
              </w:rPr>
              <w:t xml:space="preserve"/>
            </w:r>
          </w:p>
          <w:p>
            <w:pPr>
              <w:spacing w:before="14" w:after="14"/>
            </w:pPr>
            <w:r>
              <w:rPr>
                <w:rFonts w:ascii="Courier New" w:cs="Courier New" w:eastAsia="Courier New" w:hAnsi="Courier New"/>
                <w:color w:val="B8A8F8"/>
                <w:sz w:val="17"/>
                <w:szCs w:val="17"/>
              </w:rPr>
              <w:t xml:space="preserve">where:  w_k = δ_k / v₀             (precision-weighted class weight vector)</w:t>
            </w:r>
          </w:p>
          <w:p>
            <w:pPr>
              <w:spacing w:before="14" w:after="14"/>
            </w:pPr>
            <w:r>
              <w:rPr>
                <w:rFonts w:ascii="Courier New" w:cs="Courier New" w:eastAsia="Courier New" w:hAnsi="Courier New"/>
                <w:color w:val="B8A8F8"/>
                <w:sz w:val="17"/>
                <w:szCs w:val="17"/>
              </w:rPr>
              <w:t xml:space="preserve">        b_k = −⟨w_k, μ₀⟩ − ‖δ_k‖²_V/2 − u_k   (bias including epistemic term)</w:t>
            </w:r>
          </w:p>
          <w:p>
            <w:pPr>
              <w:spacing w:before="14" w:after="14"/>
            </w:pPr>
            <w:r>
              <w:rPr>
                <w:rFonts w:ascii="Courier New" w:cs="Courier New" w:eastAsia="Courier New" w:hAnsi="Courier New"/>
                <w:color w:val="B8A8F8"/>
                <w:sz w:val="17"/>
                <w:szCs w:val="17"/>
              </w:rPr>
              <w:t xml:space="preserve">        u_k = mean(v₀)/(n_obs_k+1)  (epistemic uncertainty penalty)</w:t>
            </w:r>
          </w:p>
          <w:p>
            <w:pPr>
              <w:spacing w:before="14" w:after="14"/>
            </w:pPr>
            <w:r>
              <w:rPr>
                <w:rFonts w:ascii="Courier New" w:cs="Courier New" w:eastAsia="Courier New" w:hAnsi="Courier New"/>
                <w:color w:val="B8A8F8"/>
                <w:sz w:val="17"/>
                <w:szCs w:val="17"/>
              </w:rPr>
              <w:t xml:space="preserve">        ‖δ_k‖²_V = Σ_d δ_{k,d}² / v_{0,d}   (precision-weighted squared norm)</w:t>
            </w:r>
          </w:p>
        </w:tc>
      </w:tr>
    </w:tbl>
    <w:p>
      <w:pPr>
        <w:spacing w:before="60" w:after="100"/>
        <w:jc w:val="both"/>
      </w:pPr>
      <w:r>
        <w:rPr>
          <w:rFonts w:ascii="Georgia" w:cs="Georgia" w:eastAsia="Georgia" w:hAnsi="Georgia"/>
          <w:b/>
          <w:bCs/>
          <w:color w:val="1A1A1A"/>
          <w:sz w:val="20"/>
          <w:szCs w:val="20"/>
        </w:rPr>
        <w:t xml:space="preserve">The classification rule is linear in h. </w:t>
      </w:r>
      <w:r>
        <w:rPr>
          <w:rFonts w:ascii="Georgia" w:cs="Georgia" w:eastAsia="Georgia" w:hAnsi="Georgia"/>
          <w:color w:val="1A1A1A"/>
          <w:sz w:val="20"/>
          <w:szCs w:val="20"/>
        </w:rPr>
        <w:t xml:space="preserve">The argmax k*(h) = argmax_k [⟨w_k,h⟩ + b_k] is a linear classifier in the 128-dimensional latent space. This is verified: the linear formula agrees with the classifier output on all 200 test samples (200/200).</w:t>
      </w:r>
    </w:p>
    <w:p>
      <w:pPr>
        <w:spacing w:before="60" w:after="100"/>
        <w:jc w:val="both"/>
      </w:pPr>
      <w:r>
        <w:rPr>
          <w:rFonts w:ascii="Georgia" w:cs="Georgia" w:eastAsia="Georgia" w:hAnsi="Georgia"/>
          <w:b/>
          <w:bCs/>
          <w:color w:val="1A1A1A"/>
          <w:sz w:val="20"/>
          <w:szCs w:val="20"/>
        </w:rPr>
        <w:t xml:space="preserve">w_k = δ_k/v₀ is a precision-scaled projection. </w:t>
      </w:r>
      <w:r>
        <w:rPr>
          <w:rFonts w:ascii="Georgia" w:cs="Georgia" w:eastAsia="Georgia" w:hAnsi="Georgia"/>
          <w:color w:val="1A1A1A"/>
          <w:sz w:val="20"/>
          <w:szCs w:val="20"/>
        </w:rPr>
        <w:t xml:space="preserve">Each dimension d of the weight vector w_k is the class offset δ_{k,d} scaled by the precision 1/v_{0,d}. Dimensions with small variance (high precision) contribute more to the score, implementing automatic feature weighting by inverse variance.</w:t>
      </w:r>
    </w:p>
    <w:p>
      <w:pPr>
        <w:pStyle w:val="Heading2"/>
        <w:spacing w:before="280" w:after="120"/>
      </w:pPr>
      <w:r>
        <w:rPr>
          <w:rFonts w:ascii="Arial" w:cs="Arial" w:eastAsia="Arial" w:hAnsi="Arial"/>
          <w:b/>
          <w:bCs/>
          <w:color w:val="3D1A8B"/>
          <w:sz w:val="25"/>
          <w:szCs w:val="25"/>
        </w:rPr>
        <w:t xml:space="preserve">2.2 Weight Norms and Biases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2000"/>
        <w:gridCol w:w="1900"/>
      </w:tblGrid>
      <w:tr>
        <w:trPr>
          <w:tblHeader/>
        </w:trPr>
        <w:tc>
          <w:tcPr>
            <w:tcW w:type="dxa" w:w="19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||δ_k||_V</w:t>
            </w:r>
          </w:p>
        </w:tc>
        <w:tc>
          <w:tcPr>
            <w:tcW w:type="dxa" w:w="18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||w_k||</w:t>
            </w:r>
          </w:p>
        </w:tc>
        <w:tc>
          <w:tcPr>
            <w:tcW w:type="dxa" w:w="20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u_k (×10⁻⁴)</w:t>
            </w:r>
          </w:p>
        </w:tc>
        <w:tc>
          <w:tcPr>
            <w:tcW w:type="dxa" w:w="19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b_k</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6.172</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60.07</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0.240</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−75.1</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8.678</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83.90</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0.230</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+130.7</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10.469</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95.31</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0.220</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−85.0</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10.031</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88.32</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0.230</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−85.2</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11.286</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103.11</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0.230</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−160.4</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8.813</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79.83</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0.230</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−38.2</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8.260</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73.23</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0.240</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−17.1</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8.015</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76.88</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0.230</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−12.6</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11.530</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94.98</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0.230</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−15.8</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8.679</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78.02</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0.240</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−70.1</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net_c2 and bin_malware have the largest precision-weighted class offsets. </w:t>
      </w:r>
      <w:r>
        <w:rPr>
          <w:rFonts w:ascii="Georgia" w:cs="Georgia" w:eastAsia="Georgia" w:hAnsi="Georgia"/>
          <w:color w:val="1A1A1A"/>
          <w:sz w:val="20"/>
          <w:szCs w:val="20"/>
        </w:rPr>
        <w:t xml:space="preserve">||δ_k||_V = 11.29 and 11.53 respectively. These classes deviate the most from the world prior in the precision-weighted metric, meaning their learned representations are furthest from the mean in the directions of highest certainty. net_normal has the smallest offset (||δ_k||_V = 6.17), consistent with it being the class closest to the world prior mean μ₀ — confirmed in CA8 where μ₀ maps to net_normal.</w:t>
      </w:r>
    </w:p>
    <w:p>
      <w:pPr>
        <w:spacing w:before="60" w:after="100"/>
        <w:jc w:val="both"/>
      </w:pPr>
      <w:r>
        <w:rPr>
          <w:rFonts w:ascii="Georgia" w:cs="Georgia" w:eastAsia="Georgia" w:hAnsi="Georgia"/>
          <w:b/>
          <w:bCs/>
          <w:color w:val="1A1A1A"/>
          <w:sz w:val="20"/>
          <w:szCs w:val="20"/>
        </w:rPr>
        <w:t xml:space="preserve">The epistemic penalty u_k ≈ 2.3×10⁻⁴ is negligible. </w:t>
      </w:r>
      <w:r>
        <w:rPr>
          <w:rFonts w:ascii="Georgia" w:cs="Georgia" w:eastAsia="Georgia" w:hAnsi="Georgia"/>
          <w:color w:val="1A1A1A"/>
          <w:sz w:val="20"/>
          <w:szCs w:val="20"/>
        </w:rPr>
        <w:t xml:space="preserve">With n_obs ≈ 638 observations per class after three training epochs, u_k = mean(v₀)/(n_obs+1) ≈ 0.0154/639 ≈ 2.4×10⁻⁵. This penalty is four orders of magnitude smaller than the typical LLR values (order 10²), making it operationally irrelevant. However, it provides a well-founded Bayesian regularisation: classes with fewer observations are penalised by the ratio of prior variance to sample size.</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3. Dual Problem: Geometric Margins</w:t>
      </w:r>
    </w:p>
    <w:p>
      <w:pPr>
        <w:pStyle w:val="Heading2"/>
        <w:spacing w:before="280" w:after="120"/>
      </w:pPr>
      <w:r>
        <w:rPr>
          <w:rFonts w:ascii="Arial" w:cs="Arial" w:eastAsia="Arial" w:hAnsi="Arial"/>
          <w:b/>
          <w:bCs/>
          <w:color w:val="3D1A8B"/>
          <w:sz w:val="25"/>
          <w:szCs w:val="25"/>
        </w:rPr>
        <w:t xml:space="preserve">3.1 Binary Sub-Problems and the SVM Dual</w:t>
      </w:r>
    </w:p>
    <w:p>
      <w:pPr>
        <w:spacing w:before="60" w:after="100"/>
        <w:jc w:val="both"/>
      </w:pPr>
      <w:r>
        <w:rPr>
          <w:rFonts w:ascii="Georgia" w:cs="Georgia" w:eastAsia="Georgia" w:hAnsi="Georgia"/>
          <w:color w:val="1A1A1A"/>
          <w:sz w:val="20"/>
          <w:szCs w:val="20"/>
        </w:rPr>
        <w:t xml:space="preserve">For each ordered class pair (i, j), the binary classification boundary is the hyperplane: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06040E" w:val="clear"/>
            <w:tcMar>
              <w:top w:type="dxa" w:w="120"/>
              <w:left w:type="dxa" w:w="220"/>
              <w:bottom w:type="dxa" w:w="120"/>
              <w:right w:type="dxa" w:w="220"/>
            </w:tcMar>
          </w:tcPr>
          <w:p>
            <w:pPr>
              <w:spacing w:before="14" w:after="14"/>
            </w:pPr>
            <w:r>
              <w:rPr>
                <w:rFonts w:ascii="Courier New" w:cs="Courier New" w:eastAsia="Courier New" w:hAnsi="Courier New"/>
                <w:color w:val="B8A8F8"/>
                <w:sz w:val="17"/>
                <w:szCs w:val="17"/>
              </w:rPr>
              <w:t xml:space="preserve">⟨w_i − w_j, h⟩ + (b_i − b_j) = 0</w:t>
            </w:r>
          </w:p>
          <w:p>
            <w:pPr>
              <w:spacing w:before="14" w:after="14"/>
            </w:pPr>
            <w:r>
              <w:rPr>
                <w:rFonts w:ascii="Courier New" w:cs="Courier New" w:eastAsia="Courier New" w:hAnsi="Courier New"/>
                <w:color w:val="B8A8F8"/>
                <w:sz w:val="17"/>
                <w:szCs w:val="17"/>
              </w:rPr>
              <w:t xml:space="preserve"/>
            </w:r>
          </w:p>
          <w:p>
            <w:pPr>
              <w:spacing w:before="14" w:after="14"/>
            </w:pPr>
            <w:r>
              <w:rPr>
                <w:rFonts w:ascii="Courier New" w:cs="Courier New" w:eastAsia="Courier New" w:hAnsi="Courier New"/>
                <w:color w:val="B8A8F8"/>
                <w:sz w:val="17"/>
                <w:szCs w:val="17"/>
              </w:rPr>
              <w:t xml:space="preserve">Normal vector:     n_{ij} = (w_i − w_j) / ‖w_i − w_j‖</w:t>
            </w:r>
          </w:p>
          <w:p>
            <w:pPr>
              <w:spacing w:before="14" w:after="14"/>
            </w:pPr>
            <w:r>
              <w:rPr>
                <w:rFonts w:ascii="Courier New" w:cs="Courier New" w:eastAsia="Courier New" w:hAnsi="Courier New"/>
                <w:color w:val="B8A8F8"/>
                <w:sz w:val="17"/>
                <w:szCs w:val="17"/>
              </w:rPr>
              <w:t xml:space="preserve">Geometric margin:  γ_{ij}  = 2 / ‖w_i − w_j‖</w:t>
            </w:r>
          </w:p>
          <w:p>
            <w:pPr>
              <w:spacing w:before="14" w:after="14"/>
            </w:pPr>
            <w:r>
              <w:rPr>
                <w:rFonts w:ascii="Courier New" w:cs="Courier New" w:eastAsia="Courier New" w:hAnsi="Courier New"/>
                <w:color w:val="B8A8F8"/>
                <w:sz w:val="17"/>
                <w:szCs w:val="17"/>
              </w:rPr>
              <w:t xml:space="preserve">Mahalanobis sep.:  d_{ij}  = ‖δ_i − δ_j‖_V   (precision-weighted separation)</w:t>
            </w:r>
          </w:p>
          <w:p>
            <w:pPr>
              <w:spacing w:before="14" w:after="14"/>
            </w:pPr>
            <w:r>
              <w:rPr>
                <w:rFonts w:ascii="Courier New" w:cs="Courier New" w:eastAsia="Courier New" w:hAnsi="Courier New"/>
                <w:color w:val="B8A8F8"/>
                <w:sz w:val="17"/>
                <w:szCs w:val="17"/>
              </w:rPr>
              <w:t xml:space="preserve"/>
            </w:r>
          </w:p>
          <w:p>
            <w:pPr>
              <w:spacing w:before="14" w:after="14"/>
            </w:pPr>
            <w:r>
              <w:rPr>
                <w:rFonts w:ascii="Courier New" w:cs="Courier New" w:eastAsia="Courier New" w:hAnsi="Courier New"/>
                <w:color w:val="B8A8F8"/>
                <w:sz w:val="17"/>
                <w:szCs w:val="17"/>
              </w:rPr>
              <w:t xml:space="preserve">By SVM duality: the margin γ_{ij} = 2/‖Δw‖ is the maximum margin</w:t>
            </w:r>
          </w:p>
          <w:p>
            <w:pPr>
              <w:spacing w:before="14" w:after="14"/>
            </w:pPr>
            <w:r>
              <w:rPr>
                <w:rFonts w:ascii="Courier New" w:cs="Courier New" w:eastAsia="Courier New" w:hAnsi="Courier New"/>
                <w:color w:val="B8A8F8"/>
                <w:sz w:val="17"/>
                <w:szCs w:val="17"/>
              </w:rPr>
              <w:t xml:space="preserve">achievable by a linear classifier on this boundary.</w:t>
            </w:r>
          </w:p>
        </w:tc>
      </w:tr>
    </w:tbl>
    <w:p>
      <w:pPr>
        <w:pStyle w:val="Heading2"/>
        <w:spacing w:before="280" w:after="120"/>
      </w:pPr>
      <w:r>
        <w:rPr>
          <w:rFonts w:ascii="Arial" w:cs="Arial" w:eastAsia="Arial" w:hAnsi="Arial"/>
          <w:b/>
          <w:bCs/>
          <w:color w:val="3D1A8B"/>
          <w:sz w:val="25"/>
          <w:szCs w:val="25"/>
        </w:rPr>
        <w:t xml:space="preserve">3.2 Margin Table: All 45 Class Pairs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1800"/>
        <w:gridCol w:w="2000"/>
      </w:tblGrid>
      <w:tr>
        <w:trPr>
          <w:tblHeader/>
        </w:trPr>
        <w:tc>
          <w:tcPr>
            <w:tcW w:type="dxa" w:w="28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Pair</w:t>
            </w:r>
          </w:p>
        </w:tc>
        <w:tc>
          <w:tcPr>
            <w:tcW w:type="dxa" w:w="16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||Δw||</w:t>
            </w:r>
          </w:p>
        </w:tc>
        <w:tc>
          <w:tcPr>
            <w:tcW w:type="dxa" w:w="18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Margin</w:t>
            </w:r>
          </w:p>
        </w:tc>
        <w:tc>
          <w:tcPr>
            <w:tcW w:type="dxa" w:w="18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Mah. sep.</w:t>
            </w:r>
          </w:p>
        </w:tc>
        <w:tc>
          <w:tcPr>
            <w:tcW w:type="dxa" w:w="20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Rank</w:t>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 ↔ bin_malware</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153.3</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0.01305</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17.85</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Hardest (smallest margin)</w:t>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 ↔ net_c2</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151.0</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0.01324</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16.23</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 ↔ log_info</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150.1</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0.01332</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16.35</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 ↔ bin_malware</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147.4</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0.01357</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17.48</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 ↔ bin_malware</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145.4</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0.01375</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16.67</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log_error</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90.7</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0.02206</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9.39</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 ↔ log_warn</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88.6</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0.02258</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9.97</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 bin_benign</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81.2</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0.02464</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8.71</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Easiest (largest margin)</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E4DFFA" w:val="clear"/>
            <w:tcMar>
              <w:top w:type="dxa" w:w="140"/>
              <w:left w:type="dxa" w:w="260"/>
              <w:bottom w:type="dxa" w:w="140"/>
              <w:right w:type="dxa" w:w="260"/>
            </w:tcMar>
          </w:tcPr>
          <w:p>
            <w:pPr>
              <w:spacing w:before="0" w:after="60"/>
            </w:pPr>
            <w:r>
              <w:rPr>
                <w:rFonts w:ascii="Arial" w:cs="Arial" w:eastAsia="Arial" w:hAnsi="Arial"/>
                <w:b/>
                <w:bCs/>
                <w:color w:val="1A1A5E"/>
                <w:sz w:val="19"/>
                <w:szCs w:val="19"/>
              </w:rPr>
              <w:t xml:space="preserve">Key result</w:t>
            </w:r>
          </w:p>
          <w:p>
            <w:pPr>
              <w:spacing w:before="60" w:after="100"/>
              <w:jc w:val="both"/>
            </w:pPr>
            <w:r>
              <w:rPr>
                <w:rFonts w:ascii="Georgia" w:cs="Georgia" w:eastAsia="Georgia" w:hAnsi="Georgia"/>
                <w:b/>
                <w:bCs/>
                <w:color w:val="1A1A1A"/>
                <w:sz w:val="20"/>
                <w:szCs w:val="20"/>
              </w:rPr>
              <w:t xml:space="preserve">The margin ratio easy/hard = 1.89×. </w:t>
            </w:r>
            <w:r>
              <w:rPr>
                <w:rFonts w:ascii="Georgia" w:cs="Georgia" w:eastAsia="Georgia" w:hAnsi="Georgia"/>
                <w:color w:val="1A1A1A"/>
                <w:sz w:val="20"/>
                <w:szCs w:val="20"/>
              </w:rPr>
              <w:t xml:space="preserve">All 45 geometric margins fall in the narrow range [0.0130, 0.0247]. The margin distribution is compressed: the hardest pair (net_c2↔bin_malware) has margin 0.0130 and the easiest (bin_malware↔bin_benign) has margin 0.0247. This small range (factor 1.89) indicates that the classifier treats all class pairs with near-equal difficulty in the dual sense — no pair is dramatically easier or harder than any other to separate geometrically.</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Largest ||Δw|| pairs are also hardest margins. </w:t>
      </w:r>
      <w:r>
        <w:rPr>
          <w:rFonts w:ascii="Georgia" w:cs="Georgia" w:eastAsia="Georgia" w:hAnsi="Georgia"/>
          <w:color w:val="1A1A1A"/>
          <w:sz w:val="20"/>
          <w:szCs w:val="20"/>
        </w:rPr>
        <w:t xml:space="preserve">The hardest pairs all involve net_c2 or bin_malware, which have the largest weight vectors (||w_{net_c2}|| = 103.1, ||w_{bin_malware}|| = 95.0). Large ||w_k|| means the class weight vector points far from the world prior in the precision-weighted metric, creating large ||Δw|| differences with other classes. The margin is the reciprocal of this difference, so large ||w|| classes tend to have small margins with all other classes.</w:t>
      </w:r>
    </w:p>
    <w:p>
      <w:pPr>
        <w:spacing w:before="60" w:after="100"/>
        <w:jc w:val="both"/>
      </w:pPr>
      <w:r>
        <w:rPr>
          <w:rFonts w:ascii="Georgia" w:cs="Georgia" w:eastAsia="Georgia" w:hAnsi="Georgia"/>
          <w:b/>
          <w:bCs/>
          <w:color w:val="1A1A1A"/>
          <w:sz w:val="20"/>
          <w:szCs w:val="20"/>
        </w:rPr>
        <w:t xml:space="preserve">bin_malware↔bin_benign has the easiest margin despite being the hardest pair in other analyses. </w:t>
      </w:r>
      <w:r>
        <w:rPr>
          <w:rFonts w:ascii="Georgia" w:cs="Georgia" w:eastAsia="Georgia" w:hAnsi="Georgia"/>
          <w:color w:val="1A1A1A"/>
          <w:sz w:val="20"/>
          <w:szCs w:val="20"/>
        </w:rPr>
        <w:t xml:space="preserve">The two binary classes have the smallest centroid separation (Mahalanobis distance 8.71 vs. mean 14.0 for other pairs) but the smallest ||Δw|| (81.2). The margin 0.0247 is the largest because (w_{bin_malware} − w_{bin_benign}) = (δ_{bin_malware} − δ_{bin_benign})/v₀, and the two binary class offsets are similar, giving a small difference vector. This is the pair most at risk of boundary crossing under input perturbation, despite the margin being technically largest.</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4. KKT Conditions at Decision Boundaries</w:t>
      </w:r>
    </w:p>
    <w:p>
      <w:pPr>
        <w:pStyle w:val="Heading2"/>
        <w:spacing w:before="280" w:after="120"/>
      </w:pPr>
      <w:r>
        <w:rPr>
          <w:rFonts w:ascii="Arial" w:cs="Arial" w:eastAsia="Arial" w:hAnsi="Arial"/>
          <w:b/>
          <w:bCs/>
          <w:color w:val="3D1A8B"/>
          <w:sz w:val="25"/>
          <w:szCs w:val="25"/>
        </w:rPr>
        <w:t xml:space="preserve">4.1 KKT Stationarity</w:t>
      </w:r>
    </w:p>
    <w:p>
      <w:pPr>
        <w:spacing w:before="60" w:after="100"/>
        <w:jc w:val="both"/>
      </w:pPr>
      <w:r>
        <w:rPr>
          <w:rFonts w:ascii="Georgia" w:cs="Georgia" w:eastAsia="Georgia" w:hAnsi="Georgia"/>
          <w:color w:val="1A1A1A"/>
          <w:sz w:val="20"/>
          <w:szCs w:val="20"/>
        </w:rPr>
        <w:t xml:space="preserve">At the Bayes-optimal boundary between classes i and j (the point h* where LLR_i(h*) = LLR_j(h*)), the KKT conditions for the constrained argmax 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06040E" w:val="clear"/>
            <w:tcMar>
              <w:top w:type="dxa" w:w="120"/>
              <w:left w:type="dxa" w:w="220"/>
              <w:bottom w:type="dxa" w:w="120"/>
              <w:right w:type="dxa" w:w="220"/>
            </w:tcMar>
          </w:tcPr>
          <w:p>
            <w:pPr>
              <w:spacing w:before="14" w:after="14"/>
            </w:pPr>
            <w:r>
              <w:rPr>
                <w:rFonts w:ascii="Courier New" w:cs="Courier New" w:eastAsia="Courier New" w:hAnsi="Courier New"/>
                <w:color w:val="B8A8F8"/>
                <w:sz w:val="17"/>
                <w:szCs w:val="17"/>
              </w:rPr>
              <w:t xml:space="preserve">Primal feasibility:     LLR_k(h*) ≥ LLR_j(h*)  ∀j≠k   [h* on boundary: = holds for one j]</w:t>
            </w:r>
          </w:p>
          <w:p>
            <w:pPr>
              <w:spacing w:before="14" w:after="14"/>
            </w:pPr>
            <w:r>
              <w:rPr>
                <w:rFonts w:ascii="Courier New" w:cs="Courier New" w:eastAsia="Courier New" w:hAnsi="Courier New"/>
                <w:color w:val="B8A8F8"/>
                <w:sz w:val="17"/>
                <w:szCs w:val="17"/>
              </w:rPr>
              <w:t xml:space="preserve">Dual feasibility:       λ* ≥ 0</w:t>
            </w:r>
          </w:p>
          <w:p>
            <w:pPr>
              <w:spacing w:before="14" w:after="14"/>
            </w:pPr>
            <w:r>
              <w:rPr>
                <w:rFonts w:ascii="Courier New" w:cs="Courier New" w:eastAsia="Courier New" w:hAnsi="Courier New"/>
                <w:color w:val="B8A8F8"/>
                <w:sz w:val="17"/>
                <w:szCs w:val="17"/>
              </w:rPr>
              <w:t xml:space="preserve">Stationarity:           ∇_h[LLR_i(h*) − LLR_j(h*)] = w_i − w_j  (constant, ≠ 0)</w:t>
            </w:r>
          </w:p>
          <w:p>
            <w:pPr>
              <w:spacing w:before="14" w:after="14"/>
            </w:pPr>
            <w:r>
              <w:rPr>
                <w:rFonts w:ascii="Courier New" w:cs="Courier New" w:eastAsia="Courier New" w:hAnsi="Courier New"/>
                <w:color w:val="B8A8F8"/>
                <w:sz w:val="17"/>
                <w:szCs w:val="17"/>
              </w:rPr>
              <w:t xml:space="preserve">Compl. slackness:       λ*(LLR_i(h*)−LLR_j(h*)) = 0   [satisfied: LLR_i=LLR_j at h*]</w:t>
            </w:r>
          </w:p>
          <w:p>
            <w:pPr>
              <w:spacing w:before="14" w:after="14"/>
            </w:pPr>
            <w:r>
              <w:rPr>
                <w:rFonts w:ascii="Courier New" w:cs="Courier New" w:eastAsia="Courier New" w:hAnsi="Courier New"/>
                <w:color w:val="B8A8F8"/>
                <w:sz w:val="17"/>
                <w:szCs w:val="17"/>
              </w:rPr>
              <w:t xml:space="preserve">Dual variable:          λ* = 1 / ‖w_i − w_j‖  (Lagrange multiplier)</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E4DFFA" w:val="clear"/>
            <w:tcMar>
              <w:top w:type="dxa" w:w="140"/>
              <w:left w:type="dxa" w:w="260"/>
              <w:bottom w:type="dxa" w:w="140"/>
              <w:right w:type="dxa" w:w="260"/>
            </w:tcMar>
          </w:tcPr>
          <w:p>
            <w:pPr>
              <w:spacing w:before="0" w:after="60"/>
            </w:pPr>
            <w:r>
              <w:rPr>
                <w:rFonts w:ascii="Arial" w:cs="Arial" w:eastAsia="Arial" w:hAnsi="Arial"/>
                <w:b/>
                <w:bCs/>
                <w:color w:val="1A1A5E"/>
                <w:sz w:val="19"/>
                <w:szCs w:val="19"/>
              </w:rPr>
              <w:t xml:space="preserve">Key result</w:t>
            </w:r>
          </w:p>
          <w:p>
            <w:pPr>
              <w:spacing w:before="60" w:after="100"/>
              <w:jc w:val="both"/>
            </w:pPr>
            <w:r>
              <w:rPr>
                <w:rFonts w:ascii="Georgia" w:cs="Georgia" w:eastAsia="Georgia" w:hAnsi="Georgia"/>
                <w:b/>
                <w:bCs/>
                <w:color w:val="1A1A1A"/>
                <w:sz w:val="20"/>
                <w:szCs w:val="20"/>
              </w:rPr>
              <w:t xml:space="preserve">All 45 boundaries satisfy KKT to machine precision. </w:t>
            </w:r>
            <w:r>
              <w:rPr>
                <w:rFonts w:ascii="Georgia" w:cs="Georgia" w:eastAsia="Georgia" w:hAnsi="Georgia"/>
                <w:color w:val="1A1A1A"/>
                <w:sz w:val="20"/>
                <w:szCs w:val="20"/>
              </w:rPr>
              <w:t xml:space="preserve">The maximum |LLR_gap| at any boundary is 5.33×10⁻¹⁴ (below double-precision machine epsilon ≈2.2×10⁻¹⁶ times the LLR magnitude). Stationarity holds exactly: ∇_h(LLR_i − LLR_j) = w_i − w_j is a constant vector for all h, with magnitude ||w_i−w_j|| ∈ [81.2, 153.3] across pairs. Complementary slackness holds at the boundary by construction. The dual variable λ* = 1/||w_i−w_j|| is the reciprocal of the boundary gradient norm.</w:t>
            </w:r>
          </w:p>
        </w:tc>
      </w:tr>
    </w:tbl>
    <w:p>
      <w:pPr>
        <w:pStyle w:val="Heading2"/>
        <w:spacing w:before="280" w:after="120"/>
      </w:pPr>
      <w:r>
        <w:rPr>
          <w:rFonts w:ascii="Arial" w:cs="Arial" w:eastAsia="Arial" w:hAnsi="Arial"/>
          <w:b/>
          <w:bCs/>
          <w:color w:val="3D1A8B"/>
          <w:sz w:val="25"/>
          <w:szCs w:val="25"/>
        </w:rPr>
        <w:t xml:space="preserve">4.2 The t* = 0.500 Result: Bayes-Optimal Boundaries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E4DFFA" w:val="clear"/>
            <w:tcMar>
              <w:top w:type="dxa" w:w="140"/>
              <w:left w:type="dxa" w:w="260"/>
              <w:bottom w:type="dxa" w:w="140"/>
              <w:right w:type="dxa" w:w="260"/>
            </w:tcMar>
          </w:tcPr>
          <w:p>
            <w:pPr>
              <w:spacing w:before="0" w:after="60"/>
            </w:pPr>
            <w:r>
              <w:rPr>
                <w:rFonts w:ascii="Arial" w:cs="Arial" w:eastAsia="Arial" w:hAnsi="Arial"/>
                <w:b/>
                <w:bCs/>
                <w:color w:val="1A1A5E"/>
                <w:sz w:val="19"/>
                <w:szCs w:val="19"/>
              </w:rPr>
              <w:t xml:space="preserve">Remarkable result</w:t>
            </w:r>
          </w:p>
          <w:p>
            <w:pPr>
              <w:spacing w:before="60" w:after="100"/>
              <w:jc w:val="both"/>
            </w:pPr>
            <w:r>
              <w:rPr>
                <w:rFonts w:ascii="Georgia" w:cs="Georgia" w:eastAsia="Georgia" w:hAnsi="Georgia"/>
                <w:b/>
                <w:bCs/>
                <w:color w:val="1A1A1A"/>
                <w:sz w:val="20"/>
                <w:szCs w:val="20"/>
              </w:rPr>
              <w:t xml:space="preserve">Every boundary is located at the exact geodesic midpoint t* = 0.5000. </w:t>
            </w:r>
            <w:r>
              <w:rPr>
                <w:rFonts w:ascii="Georgia" w:cs="Georgia" w:eastAsia="Georgia" w:hAnsi="Georgia"/>
                <w:color w:val="1A1A1A"/>
                <w:sz w:val="20"/>
                <w:szCs w:val="20"/>
              </w:rPr>
              <w:t xml:space="preserve">For every one of the 45 class pairs, the boundary along the centroid geodesic γ(t) = (1−t)μ_i + tμ_j is at t* = 0.5000 to machine precision. This is a theorem, not a coincidence.</w:t>
            </w:r>
          </w:p>
          <w:p>
            <w:pPr>
              <w:spacing w:before="60" w:after="100"/>
              <w:jc w:val="both"/>
            </w:pPr>
            <w:r>
              <w:rPr>
                <w:rFonts w:ascii="Georgia" w:cs="Georgia" w:eastAsia="Georgia" w:hAnsi="Georgia"/>
                <w:color w:val="1A1A1A"/>
                <w:sz w:val="20"/>
                <w:szCs w:val="20"/>
              </w:rPr>
              <w:t xml:space="preserve">Proof: at h(t) = (1−t)μ_i + tμ_j, the LLR difference is: LLR_i(h(t))−LLR_j(h(t)) = ⟨w_i−w_j, h(t)⟩ + (b_i−b_j). Setting t=0.5 and substituting: ⟨δ_i−δ_j)/v₀, (δ_i+δ_j)/2⟩ − (‖δ_i‖²_V − ‖δ_j‖²_V)/2 − (u_i−u_j) = 0. The first two terms cancel exactly. Since n_obs_i ≈ n_obs_j (equal training data per class), u_i ≈ u_j, so the entire expression is zero to machine precision. The Bayes-optimal boundary for equal-prior Gaussians with shared covariance is exactly at the midpoint.</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5. Dual Gap as Confidence Measure</w:t>
      </w:r>
    </w:p>
    <w:p>
      <w:pPr>
        <w:pStyle w:val="Heading2"/>
        <w:spacing w:before="280" w:after="120"/>
      </w:pPr>
      <w:r>
        <w:rPr>
          <w:rFonts w:ascii="Arial" w:cs="Arial" w:eastAsia="Arial" w:hAnsi="Arial"/>
          <w:b/>
          <w:bCs/>
          <w:color w:val="3D1A8B"/>
          <w:sz w:val="25"/>
          <w:szCs w:val="25"/>
        </w:rPr>
        <w:t xml:space="preserve">5.1 Definition and Properties</w:t>
      </w:r>
    </w:p>
    <w:p>
      <w:pPr>
        <w:spacing w:before="60" w:after="100"/>
        <w:jc w:val="both"/>
      </w:pPr>
      <w:r>
        <w:rPr>
          <w:rFonts w:ascii="Georgia" w:cs="Georgia" w:eastAsia="Georgia" w:hAnsi="Georgia"/>
          <w:color w:val="1A1A1A"/>
          <w:sz w:val="20"/>
          <w:szCs w:val="20"/>
        </w:rPr>
        <w:t xml:space="preserve">The dual gap at a point h is defined as G(h) = LLR_{k*}(h) − LLR_{k_2^*}(h), the difference between the top-1 and top-2 log-likelihood ratios. G(h) = 0 if and only if h lies on a decision boundary; G(h) &gt; 0 inside a decision region; large G(h) indicates h is far from any boundary in the LLR sense.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600"/>
        <w:gridCol w:w="1600"/>
        <w:gridCol w:w="2600"/>
      </w:tblGrid>
      <w:tr>
        <w:trPr>
          <w:tblHeader/>
        </w:trPr>
        <w:tc>
          <w:tcPr>
            <w:tcW w:type="dxa" w:w="19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6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G_mean</w:t>
            </w:r>
          </w:p>
        </w:tc>
        <w:tc>
          <w:tcPr>
            <w:tcW w:type="dxa" w:w="16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G_std</w:t>
            </w:r>
          </w:p>
        </w:tc>
        <w:tc>
          <w:tcPr>
            <w:tcW w:type="dxa" w:w="16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G_min</w:t>
            </w:r>
          </w:p>
        </w:tc>
        <w:tc>
          <w:tcPr>
            <w:tcW w:type="dxa" w:w="26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Softmax conf. mean</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42.9</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12.7</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17.4</w:t>
            </w:r>
          </w:p>
        </w:tc>
        <w:tc>
          <w:tcPr>
            <w:tcW w:type="dxa" w:w="2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0.9999</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62.8</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2.8</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56.9</w:t>
            </w:r>
          </w:p>
        </w:tc>
        <w:tc>
          <w:tcPr>
            <w:tcW w:type="dxa" w:w="2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82.2</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1.0</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80.0</w:t>
            </w:r>
          </w:p>
        </w:tc>
        <w:tc>
          <w:tcPr>
            <w:tcW w:type="dxa" w:w="2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69.1</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4.3</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62.3</w:t>
            </w:r>
          </w:p>
        </w:tc>
        <w:tc>
          <w:tcPr>
            <w:tcW w:type="dxa" w:w="2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61.2</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6.8</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54.9</w:t>
            </w:r>
          </w:p>
        </w:tc>
        <w:tc>
          <w:tcPr>
            <w:tcW w:type="dxa" w:w="2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46.5</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0.1</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46.0</w:t>
            </w:r>
          </w:p>
        </w:tc>
        <w:tc>
          <w:tcPr>
            <w:tcW w:type="dxa" w:w="2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43.5</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0.1</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43.2</w:t>
            </w:r>
          </w:p>
        </w:tc>
        <w:tc>
          <w:tcPr>
            <w:tcW w:type="dxa" w:w="2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46.6</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0.9</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43.5</w:t>
            </w:r>
          </w:p>
        </w:tc>
        <w:tc>
          <w:tcPr>
            <w:tcW w:type="dxa" w:w="2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43.4</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7.9</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25.0</w:t>
            </w:r>
          </w:p>
        </w:tc>
        <w:tc>
          <w:tcPr>
            <w:tcW w:type="dxa" w:w="2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31.9</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9.5</w:t>
            </w:r>
          </w:p>
        </w:tc>
        <w:tc>
          <w:tcPr>
            <w:tcW w:type="dxa" w:w="1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6.2</w:t>
            </w:r>
          </w:p>
        </w:tc>
        <w:tc>
          <w:tcPr>
            <w:tcW w:type="dxa" w:w="26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0.9989</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E4DFFA" w:val="clear"/>
            <w:tcMar>
              <w:top w:type="dxa" w:w="140"/>
              <w:left w:type="dxa" w:w="260"/>
              <w:bottom w:type="dxa" w:w="140"/>
              <w:right w:type="dxa" w:w="260"/>
            </w:tcMar>
          </w:tcPr>
          <w:p>
            <w:pPr>
              <w:spacing w:before="0" w:after="60"/>
            </w:pPr>
            <w:r>
              <w:rPr>
                <w:rFonts w:ascii="Arial" w:cs="Arial" w:eastAsia="Arial" w:hAnsi="Arial"/>
                <w:b/>
                <w:bCs/>
                <w:color w:val="1A1A5E"/>
                <w:sz w:val="19"/>
                <w:szCs w:val="19"/>
              </w:rPr>
              <w:t xml:space="preserve">Key result</w:t>
            </w:r>
          </w:p>
          <w:p>
            <w:pPr>
              <w:spacing w:before="60" w:after="100"/>
              <w:jc w:val="both"/>
            </w:pPr>
            <w:r>
              <w:rPr>
                <w:rFonts w:ascii="Georgia" w:cs="Georgia" w:eastAsia="Georgia" w:hAnsi="Georgia"/>
                <w:b/>
                <w:bCs/>
                <w:color w:val="1A1A1A"/>
                <w:sz w:val="20"/>
                <w:szCs w:val="20"/>
              </w:rPr>
              <w:t xml:space="preserve">Spearman ρ = 0.995 vs Pearson r = 0.129 between G and softmax confidence. </w:t>
            </w:r>
            <w:r>
              <w:rPr>
                <w:rFonts w:ascii="Georgia" w:cs="Georgia" w:eastAsia="Georgia" w:hAnsi="Georgia"/>
                <w:color w:val="1A1A1A"/>
                <w:sz w:val="20"/>
                <w:szCs w:val="20"/>
              </w:rPr>
              <w:t xml:space="preserve">The dual gap is a near-perfect rank predictor of softmax confidence (Spearman ρ = 0.995) but a poor linear predictor (Pearson r = 0.129). The relationship is monotone but highly nonlinear: at T = 2.5, the softmax is already saturated to conf ≥ 0.999 for G &gt; 40, so the linear correlation is masked by saturation. The G → confidence function is essentially a sigmoid step at G ≈ 30–40 at the operating temperature T = 2.5. Reducing T toward T* = 0.1 would linearise this relationship.</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G is highly variable within net_normal and bin_benign. </w:t>
      </w:r>
      <w:r>
        <w:rPr>
          <w:rFonts w:ascii="Georgia" w:cs="Georgia" w:eastAsia="Georgia" w:hAnsi="Georgia"/>
          <w:color w:val="1A1A1A"/>
          <w:sz w:val="20"/>
          <w:szCs w:val="20"/>
        </w:rPr>
        <w:t xml:space="preserve">net_normal has G_std = 12.7 (range 17–70), reflecting the large within-class variance of HTTP requests (different URLs, methods, paths). bin_benign has G_min = 6.2 — some samples come within 6.2 LLR units of the boundary. The log classes have G_std ≈ 0.1–0.9 (near-constant G), consistent with their extremely tight within-class distributions producing near-identical LLR vectors for all samples.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6. Geometry of Convex Decision Regions</w:t>
      </w:r>
    </w:p>
    <w:p>
      <w:pPr>
        <w:pStyle w:val="Heading2"/>
        <w:spacing w:before="280" w:after="120"/>
      </w:pPr>
      <w:r>
        <w:rPr>
          <w:rFonts w:ascii="Arial" w:cs="Arial" w:eastAsia="Arial" w:hAnsi="Arial"/>
          <w:b/>
          <w:bCs/>
          <w:color w:val="3D1A8B"/>
          <w:sz w:val="25"/>
          <w:szCs w:val="25"/>
        </w:rPr>
        <w:t xml:space="preserve">6.1 The Decision Polytope</w:t>
      </w:r>
    </w:p>
    <w:p>
      <w:pPr>
        <w:spacing w:before="60" w:after="100"/>
        <w:jc w:val="both"/>
      </w:pPr>
      <w:r>
        <w:rPr>
          <w:rFonts w:ascii="Georgia" w:cs="Georgia" w:eastAsia="Georgia" w:hAnsi="Georgia"/>
          <w:color w:val="1A1A1A"/>
          <w:sz w:val="20"/>
          <w:szCs w:val="20"/>
        </w:rPr>
        <w:t xml:space="preserve">Each decision region R_k = {h ∈ ℝ¹²⁸ : LLR_k(h) ≥ LLR_j(h) ∀j≠k} is an intersection of K−1 = 9 closed half-spaces — a convex polytope. Its geometric properties characterise how “wide” the decision region is around its centroid μ_k.</w:t>
      </w:r>
    </w:p>
    <w:p>
      <w:pPr>
        <w:pStyle w:val="Heading2"/>
        <w:spacing w:before="280" w:after="120"/>
      </w:pPr>
      <w:r>
        <w:rPr>
          <w:rFonts w:ascii="Arial" w:cs="Arial" w:eastAsia="Arial" w:hAnsi="Arial"/>
          <w:b/>
          <w:bCs/>
          <w:color w:val="3D1A8B"/>
          <w:sz w:val="25"/>
          <w:szCs w:val="25"/>
        </w:rPr>
        <w:t xml:space="preserve">6.2 Inradius</w:t>
      </w:r>
    </w:p>
    <w:p>
      <w:pPr>
        <w:spacing w:before="60" w:after="100"/>
        <w:jc w:val="both"/>
      </w:pPr>
      <w:r>
        <w:rPr>
          <w:rFonts w:ascii="Georgia" w:cs="Georgia" w:eastAsia="Georgia" w:hAnsi="Georgia"/>
          <w:color w:val="1A1A1A"/>
          <w:sz w:val="20"/>
          <w:szCs w:val="20"/>
        </w:rPr>
        <w:t xml:space="preserve">The inradius r_k of a decision region R_k is the radius of the largest ball centred at μ_k that fits inside R_k. It equals the distance from μ_k to the nearest supporting hyperplane: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06040E" w:val="clear"/>
            <w:tcMar>
              <w:top w:type="dxa" w:w="120"/>
              <w:left w:type="dxa" w:w="220"/>
              <w:bottom w:type="dxa" w:w="120"/>
              <w:right w:type="dxa" w:w="220"/>
            </w:tcMar>
          </w:tcPr>
          <w:p>
            <w:pPr>
              <w:spacing w:before="14" w:after="14"/>
            </w:pPr>
            <w:r>
              <w:rPr>
                <w:rFonts w:ascii="Courier New" w:cs="Courier New" w:eastAsia="Courier New" w:hAnsi="Courier New"/>
                <w:color w:val="B8A8F8"/>
                <w:sz w:val="17"/>
                <w:szCs w:val="17"/>
              </w:rPr>
              <w:t xml:space="preserve">r_k = min_{j≠k}  |⟨w_k−w_j, μ_k⟩ + b_k−b_j| / ‖w_k − w_j‖</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400"/>
        <w:gridCol w:w="3100"/>
      </w:tblGrid>
      <w:tr>
        <w:trPr>
          <w:tblHeader/>
        </w:trPr>
        <w:tc>
          <w:tcPr>
            <w:tcW w:type="dxa" w:w="19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20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Inradius r_k</w:t>
            </w:r>
          </w:p>
        </w:tc>
        <w:tc>
          <w:tcPr>
            <w:tcW w:type="dxa" w:w="24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Nearest boundary (class)</w:t>
            </w:r>
          </w:p>
        </w:tc>
        <w:tc>
          <w:tcPr>
            <w:tcW w:type="dxa" w:w="31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Geometric interpretation</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0.541</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31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Moderately wide region</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0.603</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31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0.662</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31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Widest region</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0.645</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31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0.567</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31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0.501</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31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0.487</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31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Narrowest region (tied)</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0.487</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31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Narrowest region (tied)</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0.467</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31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0.467</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31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Narrowest region overall</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Inradii range from 0.467 (bin_benign, bin_malware) to 0.662 (net_ddos). </w:t>
      </w:r>
      <w:r>
        <w:rPr>
          <w:rFonts w:ascii="Georgia" w:cs="Georgia" w:eastAsia="Georgia" w:hAnsi="Georgia"/>
          <w:color w:val="1A1A1A"/>
          <w:sz w:val="20"/>
          <w:szCs w:val="20"/>
        </w:rPr>
        <w:t xml:space="preserve">The binary classes have the smallest inradii, consistent with their mutual proximity (shortest inter-centroid Euclidean distance). net_ddos has the widest inradius (0.662), meaning its nearest boundary (to net_normal) is the furthest in units of the decision gradient. The inradius is a scalar summary of how robustly a class is separated: a class with small inradius is more vulnerable to boundary crossing under input perturbation.</w:t>
      </w:r>
    </w:p>
    <w:p>
      <w:pPr>
        <w:pStyle w:val="Heading2"/>
        <w:spacing w:before="280" w:after="120"/>
      </w:pPr>
      <w:r>
        <w:rPr>
          <w:rFonts w:ascii="Arial" w:cs="Arial" w:eastAsia="Arial" w:hAnsi="Arial"/>
          <w:b/>
          <w:bCs/>
          <w:color w:val="3D1A8B"/>
          <w:sz w:val="25"/>
          <w:szCs w:val="25"/>
        </w:rPr>
        <w:t xml:space="preserve">6.3 Solid Angle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E4DFFA" w:val="clear"/>
            <w:tcMar>
              <w:top w:type="dxa" w:w="140"/>
              <w:left w:type="dxa" w:w="260"/>
              <w:bottom w:type="dxa" w:w="140"/>
              <w:right w:type="dxa" w:w="260"/>
            </w:tcMar>
          </w:tcPr>
          <w:p>
            <w:pPr>
              <w:spacing w:before="0" w:after="60"/>
            </w:pPr>
            <w:r>
              <w:rPr>
                <w:rFonts w:ascii="Arial" w:cs="Arial" w:eastAsia="Arial" w:hAnsi="Arial"/>
                <w:b/>
                <w:bCs/>
                <w:color w:val="1A1A5E"/>
                <w:sz w:val="19"/>
                <w:szCs w:val="19"/>
              </w:rPr>
              <w:t xml:space="preserve">Striking result</w:t>
            </w:r>
          </w:p>
          <w:p>
            <w:pPr>
              <w:spacing w:before="60" w:after="100"/>
              <w:jc w:val="both"/>
            </w:pPr>
            <w:r>
              <w:rPr>
                <w:rFonts w:ascii="Georgia" w:cs="Georgia" w:eastAsia="Georgia" w:hAnsi="Georgia"/>
                <w:b/>
                <w:bCs/>
                <w:color w:val="1A1A1A"/>
                <w:sz w:val="20"/>
                <w:szCs w:val="20"/>
              </w:rPr>
              <w:t xml:space="preserve">Solid angle = 1.000 for every class. </w:t>
            </w:r>
            <w:r>
              <w:rPr>
                <w:rFonts w:ascii="Georgia" w:cs="Georgia" w:eastAsia="Georgia" w:hAnsi="Georgia"/>
                <w:color w:val="1A1A1A"/>
                <w:sz w:val="20"/>
                <w:szCs w:val="20"/>
              </w:rPr>
              <w:t xml:space="preserve">From any centroid μ_k, stepping 2×r_k outward in 2,000 uniformly random unit directions in ℝ¹²⁸, every single point remains within the correct decision region R_k. The solid angle fraction is 1.000 for all 10 classes.</w:t>
            </w:r>
          </w:p>
          <w:p>
            <w:pPr>
              <w:spacing w:before="60" w:after="100"/>
              <w:jc w:val="both"/>
            </w:pPr>
            <w:r>
              <w:rPr>
                <w:rFonts w:ascii="Georgia" w:cs="Georgia" w:eastAsia="Georgia" w:hAnsi="Georgia"/>
                <w:color w:val="1A1A1A"/>
                <w:sz w:val="20"/>
                <w:szCs w:val="20"/>
              </w:rPr>
              <w:t xml:space="preserve">In high dimensions, a convex body with inradius r centred at the origin and containing the ball B(0, r) has a solid angle fraction that approaches 1 as d → ∞ (by the curse of dimensionality applied to the complement). In d = 128 dimensions, the volume of the spherical cap outside any boundary hyperplane is negligible. Quantitatively: the probability that a random direction from μ_k crosses the boundary at distance 2r_k is bounded by the fraction of a 127-sphere that lies within distance r_k of the closest hyperplane, which is O(1/√d) ≈ 0.09 for d = 128. The empirical result of 0.000 probability (1.000 solid angle) confirms that the centroids are deeply embedded in their polytopes in the high-dimensional sense.</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7. Fenchel Conjugate of the Log-Partition Function</w:t>
      </w:r>
    </w:p>
    <w:p>
      <w:pPr>
        <w:pStyle w:val="Heading2"/>
        <w:spacing w:before="280" w:after="120"/>
      </w:pPr>
      <w:r>
        <w:rPr>
          <w:rFonts w:ascii="Arial" w:cs="Arial" w:eastAsia="Arial" w:hAnsi="Arial"/>
          <w:b/>
          <w:bCs/>
          <w:color w:val="3D1A8B"/>
          <w:sz w:val="25"/>
          <w:szCs w:val="25"/>
        </w:rPr>
        <w:t xml:space="preserve">7.1 The Convex Dual Pair (A, A*)</w:t>
      </w:r>
    </w:p>
    <w:p>
      <w:pPr>
        <w:spacing w:before="60" w:after="100"/>
        <w:jc w:val="both"/>
      </w:pPr>
      <w:r>
        <w:rPr>
          <w:rFonts w:ascii="Georgia" w:cs="Georgia" w:eastAsia="Georgia" w:hAnsi="Georgia"/>
          <w:color w:val="1A1A1A"/>
          <w:sz w:val="20"/>
          <w:szCs w:val="20"/>
        </w:rPr>
        <w:t xml:space="preserve">The log-partition function (free energy) of the classification model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06040E" w:val="clear"/>
            <w:tcMar>
              <w:top w:type="dxa" w:w="120"/>
              <w:left w:type="dxa" w:w="220"/>
              <w:bottom w:type="dxa" w:w="120"/>
              <w:right w:type="dxa" w:w="220"/>
            </w:tcMar>
          </w:tcPr>
          <w:p>
            <w:pPr>
              <w:spacing w:before="14" w:after="14"/>
            </w:pPr>
            <w:r>
              <w:rPr>
                <w:rFonts w:ascii="Courier New" w:cs="Courier New" w:eastAsia="Courier New" w:hAnsi="Courier New"/>
                <w:color w:val="B8A8F8"/>
                <w:sz w:val="17"/>
                <w:szCs w:val="17"/>
              </w:rPr>
              <w:t xml:space="preserve">A(h) = T log Σ_k exp(LLR_k(h)/T)     [convex in h]</w:t>
            </w:r>
          </w:p>
          <w:p>
            <w:pPr>
              <w:spacing w:before="14" w:after="14"/>
            </w:pPr>
            <w:r>
              <w:rPr>
                <w:rFonts w:ascii="Courier New" w:cs="Courier New" w:eastAsia="Courier New" w:hAnsi="Courier New"/>
                <w:color w:val="B8A8F8"/>
                <w:sz w:val="17"/>
                <w:szCs w:val="17"/>
              </w:rPr>
              <w:t xml:space="preserve"/>
            </w:r>
          </w:p>
          <w:p>
            <w:pPr>
              <w:spacing w:before="14" w:after="14"/>
            </w:pPr>
            <w:r>
              <w:rPr>
                <w:rFonts w:ascii="Courier New" w:cs="Courier New" w:eastAsia="Courier New" w:hAnsi="Courier New"/>
                <w:color w:val="B8A8F8"/>
                <w:sz w:val="17"/>
                <w:szCs w:val="17"/>
              </w:rPr>
              <w:t xml:space="preserve">A is convex as a log-sum-exp of linear functions (compositions of convex operations).</w:t>
            </w:r>
          </w:p>
          <w:p>
            <w:pPr>
              <w:spacing w:before="14" w:after="14"/>
            </w:pPr>
            <w:r>
              <w:rPr>
                <w:rFonts w:ascii="Courier New" w:cs="Courier New" w:eastAsia="Courier New" w:hAnsi="Courier New"/>
                <w:color w:val="B8A8F8"/>
                <w:sz w:val="17"/>
                <w:szCs w:val="17"/>
              </w:rPr>
              <w:t xml:space="preserve">Its Fenchel conjugate (Legendre–Fenchel transform):</w:t>
            </w:r>
          </w:p>
          <w:p>
            <w:pPr>
              <w:spacing w:before="14" w:after="14"/>
            </w:pPr>
            <w:r>
              <w:rPr>
                <w:rFonts w:ascii="Courier New" w:cs="Courier New" w:eastAsia="Courier New" w:hAnsi="Courier New"/>
                <w:color w:val="B8A8F8"/>
                <w:sz w:val="17"/>
                <w:szCs w:val="17"/>
              </w:rPr>
              <w:t xml:space="preserve"/>
            </w:r>
          </w:p>
          <w:p>
            <w:pPr>
              <w:spacing w:before="14" w:after="14"/>
            </w:pPr>
            <w:r>
              <w:rPr>
                <w:rFonts w:ascii="Courier New" w:cs="Courier New" w:eastAsia="Courier New" w:hAnsi="Courier New"/>
                <w:color w:val="B8A8F8"/>
                <w:sz w:val="17"/>
                <w:szCs w:val="17"/>
              </w:rPr>
              <w:t xml:space="preserve">A*(p) = sup_{h} [⟨p, E(h)⟩ − A(h)]  = T Σ_k p_k log p_k  (∀p ∈ Δ^K)</w:t>
            </w:r>
          </w:p>
          <w:p>
            <w:pPr>
              <w:spacing w:before="14" w:after="14"/>
            </w:pPr>
            <w:r>
              <w:rPr>
                <w:rFonts w:ascii="Courier New" w:cs="Courier New" w:eastAsia="Courier New" w:hAnsi="Courier New"/>
                <w:color w:val="B8A8F8"/>
                <w:sz w:val="17"/>
                <w:szCs w:val="17"/>
              </w:rPr>
              <w:t xml:space="preserve"/>
            </w:r>
          </w:p>
          <w:p>
            <w:pPr>
              <w:spacing w:before="14" w:after="14"/>
            </w:pPr>
            <w:r>
              <w:rPr>
                <w:rFonts w:ascii="Courier New" w:cs="Courier New" w:eastAsia="Courier New" w:hAnsi="Courier New"/>
                <w:color w:val="B8A8F8"/>
                <w:sz w:val="17"/>
                <w:szCs w:val="17"/>
              </w:rPr>
              <w:t xml:space="preserve">= T × (negative Shannon entropy of p)</w:t>
            </w:r>
          </w:p>
          <w:p>
            <w:pPr>
              <w:spacing w:before="14" w:after="14"/>
            </w:pPr>
            <w:r>
              <w:rPr>
                <w:rFonts w:ascii="Courier New" w:cs="Courier New" w:eastAsia="Courier New" w:hAnsi="Courier New"/>
                <w:color w:val="B8A8F8"/>
                <w:sz w:val="17"/>
                <w:szCs w:val="17"/>
              </w:rPr>
              <w:t xml:space="preserve"/>
            </w:r>
          </w:p>
          <w:p>
            <w:pPr>
              <w:spacing w:before="14" w:after="14"/>
            </w:pPr>
            <w:r>
              <w:rPr>
                <w:rFonts w:ascii="Courier New" w:cs="Courier New" w:eastAsia="Courier New" w:hAnsi="Courier New"/>
                <w:color w:val="B8A8F8"/>
                <w:sz w:val="17"/>
                <w:szCs w:val="17"/>
              </w:rPr>
              <w:t xml:space="preserve">The gradient map:   ∇A(h) = p*(h) = softmax(E(h)/T)   [the optimal p]</w:t>
            </w:r>
          </w:p>
          <w:p>
            <w:pPr>
              <w:spacing w:before="14" w:after="14"/>
            </w:pPr>
            <w:r>
              <w:rPr>
                <w:rFonts w:ascii="Courier New" w:cs="Courier New" w:eastAsia="Courier New" w:hAnsi="Courier New"/>
                <w:color w:val="B8A8F8"/>
                <w:sz w:val="17"/>
                <w:szCs w:val="17"/>
              </w:rPr>
              <w:t xml:space="preserve">Fenchel–Young equality:  A(h) + A*(p*(h)) = ⟨p*(h), E(h)⟩  [holds exactly]</w:t>
            </w:r>
          </w:p>
        </w:tc>
      </w:tr>
    </w:tbl>
    <w:p>
      <w:pPr>
        <w:spacing w:before="60" w:after="100"/>
        <w:jc w:val="both"/>
      </w:pPr>
      <w:r>
        <w:rPr>
          <w:rFonts w:ascii="Georgia" w:cs="Georgia" w:eastAsia="Georgia" w:hAnsi="Georgia"/>
          <w:b/>
          <w:bCs/>
          <w:color w:val="1A1A1A"/>
          <w:sz w:val="20"/>
          <w:szCs w:val="20"/>
        </w:rPr>
        <w:t xml:space="preserve">The Fenchel conjugate of the log-partition is the scaled negative entropy. </w:t>
      </w:r>
      <w:r>
        <w:rPr>
          <w:rFonts w:ascii="Georgia" w:cs="Georgia" w:eastAsia="Georgia" w:hAnsi="Georgia"/>
          <w:color w:val="1A1A1A"/>
          <w:sz w:val="20"/>
          <w:szCs w:val="20"/>
        </w:rPr>
        <w:t xml:space="preserve">This is the fundamental Legendre duality of the exponential family: the log-partition A plays the role of the cumulant function, and its conjugate A* is the negative entropy, defined on the moment space (the simplex Δ^K). The gradient map ∇A maps from natural parameters (h-space, via E(h)) to mean parameters (the softmax probabilities p ∈ Δ^K). This duality is at the heart of the maximum entropy interpretation of the softmax classifier.</w:t>
      </w:r>
    </w:p>
    <w:p>
      <w:pPr>
        <w:pStyle w:val="Heading2"/>
        <w:spacing w:before="280" w:after="120"/>
      </w:pPr>
      <w:r>
        <w:rPr>
          <w:rFonts w:ascii="Arial" w:cs="Arial" w:eastAsia="Arial" w:hAnsi="Arial"/>
          <w:b/>
          <w:bCs/>
          <w:color w:val="3D1A8B"/>
          <w:sz w:val="25"/>
          <w:szCs w:val="25"/>
        </w:rPr>
        <w:t xml:space="preserve">7.2 The Hessian of A(h)</w:t>
      </w:r>
    </w:p>
    <w:p>
      <w:pPr>
        <w:spacing w:before="60" w:after="100"/>
        <w:jc w:val="both"/>
      </w:pPr>
      <w:r>
        <w:rPr>
          <w:rFonts w:ascii="Georgia" w:cs="Georgia" w:eastAsia="Georgia" w:hAnsi="Georgia"/>
          <w:color w:val="1A1A1A"/>
          <w:sz w:val="20"/>
          <w:szCs w:val="20"/>
        </w:rPr>
        <w:t xml:space="preserve">The Hessian ∇²A(h) = (1/T) × Cov_p(w) is the covariance matrix of the weight vectors w_k under the softmax distribution p(h). It is a positive-semidefinite matrix of rank at most K−1 = 9 in ℝ¹²⁸.</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06040E" w:val="clear"/>
            <w:tcMar>
              <w:top w:type="dxa" w:w="120"/>
              <w:left w:type="dxa" w:w="220"/>
              <w:bottom w:type="dxa" w:w="120"/>
              <w:right w:type="dxa" w:w="220"/>
            </w:tcMar>
          </w:tcPr>
          <w:p>
            <w:pPr>
              <w:spacing w:before="14" w:after="14"/>
            </w:pPr>
            <w:r>
              <w:rPr>
                <w:rFonts w:ascii="Courier New" w:cs="Courier New" w:eastAsia="Courier New" w:hAnsi="Courier New"/>
                <w:color w:val="B8A8F8"/>
                <w:sz w:val="17"/>
                <w:szCs w:val="17"/>
              </w:rPr>
              <w:t xml:space="preserve">∇²A(h) = (1/T) × [Σ_k p_k w_k w_kᵀ − (Σ_k p_k w_k)(Σ_k p_k w_k)ᵀ]</w:t>
            </w:r>
          </w:p>
          <w:p>
            <w:pPr>
              <w:spacing w:before="14" w:after="14"/>
            </w:pPr>
            <w:r>
              <w:rPr>
                <w:rFonts w:ascii="Courier New" w:cs="Courier New" w:eastAsia="Courier New" w:hAnsi="Courier New"/>
                <w:color w:val="B8A8F8"/>
                <w:sz w:val="17"/>
                <w:szCs w:val="17"/>
              </w:rPr>
              <w:t xml:space="preserve">       = Cov_{k∼p(h)}(w_k) / T    [rank ≤ K−1 = 9]</w:t>
            </w:r>
          </w:p>
        </w:tc>
      </w:tr>
    </w:tbl>
    <w:p>
      <w:pPr>
        <w:spacing w:before="60" w:after="100"/>
        <w:jc w:val="both"/>
      </w:pPr>
      <w:r>
        <w:rPr>
          <w:rFonts w:ascii="Georgia" w:cs="Georgia" w:eastAsia="Georgia" w:hAnsi="Georgia"/>
          <w:b/>
          <w:bCs/>
          <w:color w:val="1A1A1A"/>
          <w:sz w:val="20"/>
          <w:szCs w:val="20"/>
        </w:rPr>
        <w:t xml:space="preserve">At classification-confident centroids (near-one-hot p), the Hessian has rank ≈1–4. </w:t>
      </w:r>
      <w:r>
        <w:rPr>
          <w:rFonts w:ascii="Georgia" w:cs="Georgia" w:eastAsia="Georgia" w:hAnsi="Georgia"/>
          <w:color w:val="1A1A1A"/>
          <w:sz w:val="20"/>
          <w:szCs w:val="20"/>
        </w:rPr>
        <w:t xml:space="preserve">At each class centroid μ_k, p(h) is concentrated near class k (p_k ≈ 1). The covariance Cov_p(w) collapses to a low-rank matrix dominated by the single non-zero entry in p. The effective rank (number of eigenvalues above 10⁻⁸) is 0–4, far below the theoretical maximum of 9. This means the Hessian is nearly degenerate at the centroids: the log-partition is nearly flat in most directions, consistent with extreme confidence.</w:t>
      </w:r>
    </w:p>
    <w:p>
      <w:pPr>
        <w:spacing w:before="60" w:after="100"/>
        <w:jc w:val="both"/>
      </w:pPr>
      <w:r>
        <w:rPr>
          <w:rFonts w:ascii="Georgia" w:cs="Georgia" w:eastAsia="Georgia" w:hAnsi="Georgia"/>
          <w:b/>
          <w:bCs/>
          <w:color w:val="1A1A1A"/>
          <w:sz w:val="20"/>
          <w:szCs w:val="20"/>
        </w:rPr>
        <w:t xml:space="preserve">The large condition numbers (10²–10³) confirm directional sensitivity. </w:t>
      </w:r>
      <w:r>
        <w:rPr>
          <w:rFonts w:ascii="Georgia" w:cs="Georgia" w:eastAsia="Georgia" w:hAnsi="Georgia"/>
          <w:color w:val="1A1A1A"/>
          <w:sz w:val="20"/>
          <w:szCs w:val="20"/>
        </w:rPr>
        <w:t xml:space="preserve">For classes with eff_rank &gt; 1 (net_normal rank=4 with cond=567, log_warn rank=3 with cond=13, log_error rank=4 with cond=2349), the Hessian is highly ill-conditioned. The largest eigenvalue direction is the direction of highest curvature in A(h), pointing toward the decision boundary. The smallest eigenvalue direction is the “inert” direction in which confidence changes slowest.</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8. Bregman Divergence</w:t>
      </w:r>
    </w:p>
    <w:p>
      <w:pPr>
        <w:pStyle w:val="Heading2"/>
        <w:spacing w:before="280" w:after="120"/>
      </w:pPr>
      <w:r>
        <w:rPr>
          <w:rFonts w:ascii="Arial" w:cs="Arial" w:eastAsia="Arial" w:hAnsi="Arial"/>
          <w:b/>
          <w:bCs/>
          <w:color w:val="3D1A8B"/>
          <w:sz w:val="25"/>
          <w:szCs w:val="25"/>
        </w:rPr>
        <w:t xml:space="preserve">8.1 Definition and Properties</w:t>
      </w:r>
    </w:p>
    <w:p>
      <w:pPr>
        <w:spacing w:before="60" w:after="100"/>
        <w:jc w:val="both"/>
      </w:pPr>
      <w:r>
        <w:rPr>
          <w:rFonts w:ascii="Georgia" w:cs="Georgia" w:eastAsia="Georgia" w:hAnsi="Georgia"/>
          <w:color w:val="1A1A1A"/>
          <w:sz w:val="20"/>
          <w:szCs w:val="20"/>
        </w:rPr>
        <w:t xml:space="preserve">The Bregman divergence induced by A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06040E" w:val="clear"/>
            <w:tcMar>
              <w:top w:type="dxa" w:w="120"/>
              <w:left w:type="dxa" w:w="220"/>
              <w:bottom w:type="dxa" w:w="120"/>
              <w:right w:type="dxa" w:w="220"/>
            </w:tcMar>
          </w:tcPr>
          <w:p>
            <w:pPr>
              <w:spacing w:before="14" w:after="14"/>
            </w:pPr>
            <w:r>
              <w:rPr>
                <w:rFonts w:ascii="Courier New" w:cs="Courier New" w:eastAsia="Courier New" w:hAnsi="Courier New"/>
                <w:color w:val="B8A8F8"/>
                <w:sz w:val="17"/>
                <w:szCs w:val="17"/>
              </w:rPr>
              <w:t xml:space="preserve">D_A(h, h′) = A(h) − A(h′) − ⟨∇A(h′), h−h′⟩</w:t>
            </w:r>
          </w:p>
          <w:p>
            <w:pPr>
              <w:spacing w:before="14" w:after="14"/>
            </w:pPr>
            <w:r>
              <w:rPr>
                <w:rFonts w:ascii="Courier New" w:cs="Courier New" w:eastAsia="Courier New" w:hAnsi="Courier New"/>
                <w:color w:val="B8A8F8"/>
                <w:sz w:val="17"/>
                <w:szCs w:val="17"/>
              </w:rPr>
              <w:t xml:space="preserve">           = T × KL(p(h′) ‖ p(h))</w:t>
            </w:r>
          </w:p>
          <w:p>
            <w:pPr>
              <w:spacing w:before="14" w:after="14"/>
            </w:pPr>
            <w:r>
              <w:rPr>
                <w:rFonts w:ascii="Courier New" w:cs="Courier New" w:eastAsia="Courier New" w:hAnsi="Courier New"/>
                <w:color w:val="B8A8F8"/>
                <w:sz w:val="17"/>
                <w:szCs w:val="17"/>
              </w:rPr>
              <w:t xml:space="preserve"/>
            </w:r>
          </w:p>
          <w:p>
            <w:pPr>
              <w:spacing w:before="14" w:after="14"/>
            </w:pPr>
            <w:r>
              <w:rPr>
                <w:rFonts w:ascii="Courier New" w:cs="Courier New" w:eastAsia="Courier New" w:hAnsi="Courier New"/>
                <w:color w:val="B8A8F8"/>
                <w:sz w:val="17"/>
                <w:szCs w:val="17"/>
              </w:rPr>
              <w:t xml:space="preserve">(The Bregman divergence of the log-sum-exp is the scaled KL divergence</w:t>
            </w:r>
          </w:p>
          <w:p>
            <w:pPr>
              <w:spacing w:before="14" w:after="14"/>
            </w:pPr>
            <w:r>
              <w:rPr>
                <w:rFonts w:ascii="Courier New" w:cs="Courier New" w:eastAsia="Courier New" w:hAnsi="Courier New"/>
                <w:color w:val="B8A8F8"/>
                <w:sz w:val="17"/>
                <w:szCs w:val="17"/>
              </w:rPr>
              <w:t xml:space="preserve"> between softmax distributions, with the “right” argument fixed.)</w:t>
            </w:r>
          </w:p>
        </w:tc>
      </w:tr>
    </w:tbl>
    <w:p>
      <w:pPr>
        <w:pStyle w:val="Heading2"/>
        <w:spacing w:before="280" w:after="120"/>
      </w:pPr>
      <w:r>
        <w:rPr>
          <w:rFonts w:ascii="Arial" w:cs="Arial" w:eastAsia="Arial" w:hAnsi="Arial"/>
          <w:b/>
          <w:bCs/>
          <w:color w:val="3D1A8B"/>
          <w:sz w:val="25"/>
          <w:szCs w:val="25"/>
        </w:rPr>
        <w:t xml:space="preserve">8.2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000"/>
      </w:tblGrid>
      <w:tr>
        <w:trPr>
          <w:tblHeader/>
        </w:trPr>
        <w:tc>
          <w:tcPr>
            <w:tcW w:type="dxa" w:w="28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Pair</w:t>
            </w:r>
          </w:p>
        </w:tc>
        <w:tc>
          <w:tcPr>
            <w:tcW w:type="dxa" w:w="24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D_A(i,j) = T·KL(p_j||p_i)</w:t>
            </w:r>
          </w:p>
        </w:tc>
        <w:tc>
          <w:tcPr>
            <w:tcW w:type="dxa" w:w="20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Euclidean dist.</w:t>
            </w:r>
          </w:p>
        </w:tc>
        <w:tc>
          <w:tcPr>
            <w:tcW w:type="dxa" w:w="20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 → bin_malware</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37.90</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1.062</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Topologically nearest (Bregman)</w:t>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 bin_benign</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37.90</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1.062</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Symmetric (near one-hot p)</w:t>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log_error</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44.12</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1.128</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log_info</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48.86</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1.186</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 net_c2</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159.26</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2.164</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Largest Bregman divergence</w:t>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 → bin_malware</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159.26</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2.164</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Symmetric (near one-hot p)</w:t>
            </w:r>
          </w:p>
        </w:tc>
      </w:tr>
      <w:tr>
        <w:trPr>
          <w:tblHeader w:val="false"/>
        </w:trPr>
        <w:tc>
          <w:tcPr>
            <w:tcW w:type="dxa" w:w="2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 net_exfil</w:t>
            </w:r>
          </w:p>
        </w:tc>
        <w:tc>
          <w:tcPr>
            <w:tcW w:type="dxa" w:w="24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152.70</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2.212</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E4DFFA" w:val="clear"/>
            <w:tcMar>
              <w:top w:type="dxa" w:w="140"/>
              <w:left w:type="dxa" w:w="260"/>
              <w:bottom w:type="dxa" w:w="140"/>
              <w:right w:type="dxa" w:w="260"/>
            </w:tcMar>
          </w:tcPr>
          <w:p>
            <w:pPr>
              <w:spacing w:before="0" w:after="60"/>
            </w:pPr>
            <w:r>
              <w:rPr>
                <w:rFonts w:ascii="Arial" w:cs="Arial" w:eastAsia="Arial" w:hAnsi="Arial"/>
                <w:b/>
                <w:bCs/>
                <w:color w:val="1A1A5E"/>
                <w:sz w:val="19"/>
                <w:szCs w:val="19"/>
              </w:rPr>
              <w:t xml:space="preserve">Key results</w:t>
            </w:r>
          </w:p>
          <w:p>
            <w:pPr>
              <w:spacing w:before="60" w:after="100"/>
              <w:jc w:val="both"/>
            </w:pPr>
            <w:r>
              <w:rPr>
                <w:rFonts w:ascii="Georgia" w:cs="Georgia" w:eastAsia="Georgia" w:hAnsi="Georgia"/>
                <w:b/>
                <w:bCs/>
                <w:color w:val="1A1A1A"/>
                <w:sz w:val="20"/>
                <w:szCs w:val="20"/>
              </w:rPr>
              <w:t xml:space="preserve">Near-perfect symmetry: max|D_A(i,j)−D_A(j,i)| = 2.4×10⁻⁵. </w:t>
            </w:r>
            <w:r>
              <w:rPr>
                <w:rFonts w:ascii="Georgia" w:cs="Georgia" w:eastAsia="Georgia" w:hAnsi="Georgia"/>
                <w:color w:val="1A1A1A"/>
                <w:sz w:val="20"/>
                <w:szCs w:val="20"/>
              </w:rPr>
              <w:t xml:space="preserve">The Bregman divergence, which is asymmetric in general, is effectively symmetric here. This is because at each centroid μ_k, the softmax p(μ_k) is nearly one-hot (concentrated on class k). When both p(h) and p(h′) are near-one-hot on different classes, KL(p′‖p) ≈ KL(p‖p′) since both divergences are dominated by the cross-entropy from the non-winning class.</w:t>
            </w:r>
          </w:p>
          <w:p>
            <w:pPr>
              <w:spacing w:before="60" w:after="100"/>
              <w:jc w:val="both"/>
            </w:pPr>
            <w:r>
              <w:rPr>
                <w:rFonts w:ascii="Georgia" w:cs="Georgia" w:eastAsia="Georgia" w:hAnsi="Georgia"/>
                <w:b/>
                <w:bCs/>
                <w:color w:val="1A1A1A"/>
                <w:sz w:val="20"/>
                <w:szCs w:val="20"/>
              </w:rPr>
              <w:t xml:space="preserve">r = 0.979 correlation with Euclidean centroid distance. </w:t>
            </w:r>
            <w:r>
              <w:rPr>
                <w:rFonts w:ascii="Georgia" w:cs="Georgia" w:eastAsia="Georgia" w:hAnsi="Georgia"/>
                <w:color w:val="1A1A1A"/>
                <w:sz w:val="20"/>
                <w:szCs w:val="20"/>
              </w:rPr>
              <w:t xml:space="preserve">The Bregman divergence tracks Euclidean geometry with r = 0.979. This is much stronger than the bottleneck distance correlation (r = 0.46) found in the persistent homology analysis, because Bregman divergence is a global measure sensitive to the entire softmax distribution, which is dominated by centroid distance at the near-one-hot regime.</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9. World Prior Location in Decision Space</w:t>
      </w:r>
    </w:p>
    <w:p>
      <w:pPr>
        <w:spacing w:before="60" w:after="100"/>
        <w:jc w:val="both"/>
      </w:pPr>
      <w:r>
        <w:rPr>
          <w:rFonts w:ascii="Georgia" w:cs="Georgia" w:eastAsia="Georgia" w:hAnsi="Georgia"/>
          <w:color w:val="1A1A1A"/>
          <w:sz w:val="20"/>
          <w:szCs w:val="20"/>
        </w:rPr>
        <w:t xml:space="preserve">The world prior mean μ₀ is the “default” representation for unknown inputs. Its location in decision space determines the classifier’s default prediction for unseen traffic.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E4DFFA" w:val="clear"/>
            <w:tcMar>
              <w:top w:type="dxa" w:w="140"/>
              <w:left w:type="dxa" w:w="260"/>
              <w:bottom w:type="dxa" w:w="140"/>
              <w:right w:type="dxa" w:w="260"/>
            </w:tcMar>
          </w:tcPr>
          <w:p>
            <w:pPr>
              <w:spacing w:before="0" w:after="60"/>
            </w:pPr>
            <w:r>
              <w:rPr>
                <w:rFonts w:ascii="Arial" w:cs="Arial" w:eastAsia="Arial" w:hAnsi="Arial"/>
                <w:b/>
                <w:bCs/>
                <w:color w:val="1A1A5E"/>
                <w:sz w:val="19"/>
                <w:szCs w:val="19"/>
              </w:rPr>
              <w:t xml:space="preserve">Result</w:t>
            </w:r>
          </w:p>
          <w:p>
            <w:pPr>
              <w:spacing w:before="60" w:after="100"/>
              <w:jc w:val="both"/>
            </w:pPr>
            <w:r>
              <w:rPr>
                <w:rFonts w:ascii="Georgia" w:cs="Georgia" w:eastAsia="Georgia" w:hAnsi="Georgia"/>
                <w:b/>
                <w:bCs/>
                <w:color w:val="1A1A1A"/>
                <w:sz w:val="20"/>
                <w:szCs w:val="20"/>
              </w:rPr>
              <w:t xml:space="preserve">argmax_k LLR_k(μ₀) = net_normal. </w:t>
            </w:r>
            <w:r>
              <w:rPr>
                <w:rFonts w:ascii="Georgia" w:cs="Georgia" w:eastAsia="Georgia" w:hAnsi="Georgia"/>
                <w:color w:val="1A1A1A"/>
                <w:sz w:val="20"/>
                <w:szCs w:val="20"/>
              </w:rPr>
              <w:t xml:space="preserve">The world prior maps to the net_normal class. The LLR at μ₀ ranges from −19.04 (net_normal, the winner) to −66.47 (bin_malware, the most negative). The dual gap at μ₀ is G(μ₀) = 13.07, and the softmax confidence is 0.991 for net_normal. The world prior is deep inside the net_normal decision region: its nearest boundary is at signed distance 0.128 (toward log_error), compared to inradius 0.541 for net_normal. Thus μ₀ is 0.128/0.541 = 23.7% of the way from μ₀ to the net_normal boundary.</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Why net_normal? </w:t>
      </w:r>
      <w:r>
        <w:rPr>
          <w:rFonts w:ascii="Georgia" w:cs="Georgia" w:eastAsia="Georgia" w:hAnsi="Georgia"/>
          <w:color w:val="1A1A1A"/>
          <w:sz w:val="20"/>
          <w:szCs w:val="20"/>
        </w:rPr>
        <w:t xml:space="preserve">The world prior mean μ₀ is updated by all training samples equally. With 100 samples per class, the world prior drifts toward the empirical mean of the full training set. Since the log class distributions are tight (small within-class variance) and the binary class distributions are diffuse (large within-class variance), the world prior mean is pulled toward the denser clusters — the log and network traffic classes. Among these, net_normal has the closest centroid μ_{net_normal} = μ₀ + δ_{net_normal} with the smallest ||delta||_V = 6.17, meaning net_normal is geometrically closest to the world prior in the precision-weighted metric.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000"/>
      </w:tblGrid>
      <w:tr>
        <w:trPr>
          <w:tblHeader/>
        </w:trPr>
        <w:tc>
          <w:tcPr>
            <w:tcW w:type="dxa" w:w="20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22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LLR(μ₀)</w:t>
            </w:r>
          </w:p>
        </w:tc>
        <w:tc>
          <w:tcPr>
            <w:tcW w:type="dxa" w:w="30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Signed dist. to boundary of R_{net_normal}</w:t>
            </w:r>
          </w:p>
        </w:tc>
        <w:tc>
          <w:tcPr>
            <w:tcW w:type="dxa" w:w="20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Nearest?</w:t>
            </w:r>
          </w:p>
        </w:tc>
      </w:tr>
      <w:tr>
        <w:trPr>
          <w:tblHeader w:val="false"/>
        </w:trPr>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22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−19.04 ← argmax</w:t>
            </w:r>
          </w:p>
        </w:tc>
        <w:tc>
          <w:tcPr>
            <w:tcW w:type="dxa" w:w="3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22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−32.12</w:t>
            </w:r>
          </w:p>
        </w:tc>
        <w:tc>
          <w:tcPr>
            <w:tcW w:type="dxa" w:w="3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0.128</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Nearest boundary</w:t>
            </w:r>
          </w:p>
        </w:tc>
      </w:tr>
      <w:tr>
        <w:trPr>
          <w:tblHeader w:val="false"/>
        </w:trPr>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22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−34.12</w:t>
            </w:r>
          </w:p>
        </w:tc>
        <w:tc>
          <w:tcPr>
            <w:tcW w:type="dxa" w:w="3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0.170</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22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−37.66</w:t>
            </w:r>
          </w:p>
        </w:tc>
        <w:tc>
          <w:tcPr>
            <w:tcW w:type="dxa" w:w="3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0.163</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22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−38.83</w:t>
            </w:r>
          </w:p>
        </w:tc>
        <w:tc>
          <w:tcPr>
            <w:tcW w:type="dxa" w:w="3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0.184</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22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−50.32</w:t>
            </w:r>
          </w:p>
        </w:tc>
        <w:tc>
          <w:tcPr>
            <w:tcW w:type="dxa" w:w="3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0.285</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22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−54.80</w:t>
            </w:r>
          </w:p>
        </w:tc>
        <w:tc>
          <w:tcPr>
            <w:tcW w:type="dxa" w:w="3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0.310</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22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−66.47</w:t>
            </w:r>
          </w:p>
        </w:tc>
        <w:tc>
          <w:tcPr>
            <w:tcW w:type="dxa" w:w="3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0.410</w:t>
            </w:r>
          </w:p>
        </w:tc>
        <w:tc>
          <w:tcPr>
            <w:tcW w:type="dxa" w:w="20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Furthest</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10. Facet-Normal Angles of Decision Polytopes</w:t>
      </w:r>
    </w:p>
    <w:p>
      <w:pPr>
        <w:spacing w:before="60" w:after="100"/>
        <w:jc w:val="both"/>
      </w:pPr>
      <w:r>
        <w:rPr>
          <w:rFonts w:ascii="Georgia" w:cs="Georgia" w:eastAsia="Georgia" w:hAnsi="Georgia"/>
          <w:color w:val="1A1A1A"/>
          <w:sz w:val="20"/>
          <w:szCs w:val="20"/>
        </w:rPr>
        <w:t xml:space="preserve">For each decision region R_k, the K−1 supporting hyperplanes have outward normals n_{kj} = (w_k−w_j)/‖w_k−w_j‖. The angle between two facets of R_k is arccos(n_{ki}·n_{kj}), which determines whether the decision polytope is “sharp” (small angles, thin wedge) or “broad” (large angles, wide region).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800"/>
        <w:gridCol w:w="1900"/>
      </w:tblGrid>
      <w:tr>
        <w:trPr>
          <w:tblHeader/>
        </w:trPr>
        <w:tc>
          <w:tcPr>
            <w:tcW w:type="dxa" w:w="19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Mean cosθ</w:t>
            </w:r>
          </w:p>
        </w:tc>
        <w:tc>
          <w:tcPr>
            <w:tcW w:type="dxa" w:w="18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Min cosθ</w:t>
            </w:r>
          </w:p>
        </w:tc>
        <w:tc>
          <w:tcPr>
            <w:tcW w:type="dxa" w:w="18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Max cosθ</w:t>
            </w:r>
          </w:p>
        </w:tc>
        <w:tc>
          <w:tcPr>
            <w:tcW w:type="dxa" w:w="1900"/>
            <w:tcBorders>
              <w:top w:val="single" w:color="9988CC" w:sz="1"/>
              <w:left w:val="single" w:color="9988CC" w:sz="1"/>
              <w:bottom w:val="single" w:color="9988CC" w:sz="1"/>
              <w:right w:val="single" w:color="9988CC" w:sz="1"/>
            </w:tcBorders>
            <w:shd w:fill="1A1A5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Mean angle</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0.295</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−0.012</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0.752</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72.5°</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0.500</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0.302</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0.818</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59.6°</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0.576</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0.393</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0.823</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54.5°</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0.543</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0.323</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0.840</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56.8°</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0.633</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0.510</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0.849</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50.4°</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0.476</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0.302</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0.815</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61.3°</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0.413</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0.239</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0.812</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65.4°</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0.446</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0.266</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0.830</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63.2°</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0.589</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0.362</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0.797</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53.5°</w:t>
            </w:r>
          </w:p>
        </w:tc>
      </w:tr>
      <w:tr>
        <w:trPr>
          <w:tblHeader w:val="false"/>
        </w:trPr>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0.448</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−0.002</w:t>
            </w:r>
          </w:p>
        </w:tc>
        <w:tc>
          <w:tcPr>
            <w:tcW w:type="dxa" w:w="18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0.708</w:t>
            </w:r>
          </w:p>
        </w:tc>
        <w:tc>
          <w:tcPr>
            <w:tcW w:type="dxa" w:w="1900"/>
            <w:tcBorders>
              <w:top w:val="single" w:color="9988CC" w:sz="1"/>
              <w:left w:val="single" w:color="9988CC" w:sz="1"/>
              <w:bottom w:val="single" w:color="9988CC" w:sz="1"/>
              <w:right w:val="single" w:color="9988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62.8°</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net_normal has the widest decision polytope (mean angle 72.5°, min cosine −0.012). </w:t>
      </w:r>
      <w:r>
        <w:rPr>
          <w:rFonts w:ascii="Georgia" w:cs="Georgia" w:eastAsia="Georgia" w:hAnsi="Georgia"/>
          <w:color w:val="1A1A1A"/>
          <w:sz w:val="20"/>
          <w:szCs w:val="20"/>
        </w:rPr>
        <w:t xml:space="preserve">The near-zero minimum cosine (−0.012) means one pair of facets of the net_normal polytope is nearly orthogonal, creating a locally wide region. This is consistent with net_normal having the smallest precision-weighted offset ||delta_{net_normal}||_V = 6.17: its weight vector w_{net_normal} is shortest, giving the widest angle variation among its difference vectors w_{net_normal} − w_{cj}.</w:t>
      </w:r>
    </w:p>
    <w:p>
      <w:pPr>
        <w:spacing w:before="60" w:after="100"/>
        <w:jc w:val="both"/>
      </w:pPr>
      <w:r>
        <w:rPr>
          <w:rFonts w:ascii="Georgia" w:cs="Georgia" w:eastAsia="Georgia" w:hAnsi="Georgia"/>
          <w:b/>
          <w:bCs/>
          <w:color w:val="1A1A1A"/>
          <w:sz w:val="20"/>
          <w:szCs w:val="20"/>
        </w:rPr>
        <w:t xml:space="preserve">net_c2 has the sharpest polytope (mean angle 50.4°, min cosine 0.510). </w:t>
      </w:r>
      <w:r>
        <w:rPr>
          <w:rFonts w:ascii="Georgia" w:cs="Georgia" w:eastAsia="Georgia" w:hAnsi="Georgia"/>
          <w:color w:val="1A1A1A"/>
          <w:sz w:val="20"/>
          <w:szCs w:val="20"/>
        </w:rPr>
        <w:t xml:space="preserve">All facets of the net_c2 region make angles ≥ 59° with each other, meaning no two supporting hyperplanes are nearly parallel. This makes the net_c2 region the most “tapered” polytope, consistent with net_c2 having the largest ||w_k|| = 103.1 and its facets all pointing in similar (but not identical) directions away from a large-norm anchor point.</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11. Strong Duality: The Entropy-Regularised LP</w:t>
      </w:r>
    </w:p>
    <w:p>
      <w:pPr>
        <w:spacing w:before="60" w:after="100"/>
        <w:jc w:val="both"/>
      </w:pPr>
      <w:r>
        <w:rPr>
          <w:rFonts w:ascii="Georgia" w:cs="Georgia" w:eastAsia="Georgia" w:hAnsi="Georgia"/>
          <w:color w:val="1A1A1A"/>
          <w:sz w:val="20"/>
          <w:szCs w:val="20"/>
        </w:rPr>
        <w:t xml:space="preserve">The classification decision rule can be viewed as the solution to an entropy-regularised linear programme: max_{p ∈ Δ^K} [⟨p, E(h)⟩ + T·H(p)], where H(p) is the Shannon entropy and E_k(h) = LLR_k(h).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988CC" w:sz="1"/>
              <w:left w:val="single" w:color="9988CC" w:sz="1"/>
              <w:bottom w:val="single" w:color="9988CC" w:sz="1"/>
              <w:right w:val="single" w:color="9988CC" w:sz="1"/>
            </w:tcBorders>
            <w:shd w:fill="06040E" w:val="clear"/>
            <w:tcMar>
              <w:top w:type="dxa" w:w="120"/>
              <w:left w:type="dxa" w:w="220"/>
              <w:bottom w:type="dxa" w:w="120"/>
              <w:right w:type="dxa" w:w="220"/>
            </w:tcMar>
          </w:tcPr>
          <w:p>
            <w:pPr>
              <w:spacing w:before="14" w:after="14"/>
            </w:pPr>
            <w:r>
              <w:rPr>
                <w:rFonts w:ascii="Courier New" w:cs="Courier New" w:eastAsia="Courier New" w:hAnsi="Courier New"/>
                <w:color w:val="B8A8F8"/>
                <w:sz w:val="17"/>
                <w:szCs w:val="17"/>
              </w:rPr>
              <w:t xml:space="preserve">Primal:  max_{p ∈ Δ^K}  ⟨p, E(h)⟩ + T·H(p)</w:t>
            </w:r>
          </w:p>
          <w:p>
            <w:pPr>
              <w:spacing w:before="14" w:after="14"/>
            </w:pPr>
            <w:r>
              <w:rPr>
                <w:rFonts w:ascii="Courier New" w:cs="Courier New" w:eastAsia="Courier New" w:hAnsi="Courier New"/>
                <w:color w:val="B8A8F8"/>
                <w:sz w:val="17"/>
                <w:szCs w:val="17"/>
              </w:rPr>
              <w:t xml:space="preserve">Dual:    min_λ           T log Σ_k exp((E_k(h)−λ_k)/T) + Σ_k λ_k</w:t>
            </w:r>
          </w:p>
          <w:p>
            <w:pPr>
              <w:spacing w:before="14" w:after="14"/>
            </w:pPr>
            <w:r>
              <w:rPr>
                <w:rFonts w:ascii="Courier New" w:cs="Courier New" w:eastAsia="Courier New" w:hAnsi="Courier New"/>
                <w:color w:val="B8A8F8"/>
                <w:sz w:val="17"/>
                <w:szCs w:val="17"/>
              </w:rPr>
              <w:t xml:space="preserve"/>
            </w:r>
          </w:p>
          <w:p>
            <w:pPr>
              <w:spacing w:before="14" w:after="14"/>
            </w:pPr>
            <w:r>
              <w:rPr>
                <w:rFonts w:ascii="Courier New" w:cs="Courier New" w:eastAsia="Courier New" w:hAnsi="Courier New"/>
                <w:color w:val="B8A8F8"/>
                <w:sz w:val="17"/>
                <w:szCs w:val="17"/>
              </w:rPr>
              <w:t xml:space="preserve">Primal optimum at p* = softmax(E/T)  [by setting ∇_p L = 0]</w:t>
            </w:r>
          </w:p>
          <w:p>
            <w:pPr>
              <w:spacing w:before="14" w:after="14"/>
            </w:pPr>
            <w:r>
              <w:rPr>
                <w:rFonts w:ascii="Courier New" w:cs="Courier New" w:eastAsia="Courier New" w:hAnsi="Courier New"/>
                <w:color w:val="B8A8F8"/>
                <w:sz w:val="17"/>
                <w:szCs w:val="17"/>
              </w:rPr>
              <w:t xml:space="preserve">Dual optimum = T log Z = A(h)         [log-partition function]</w:t>
            </w:r>
          </w:p>
          <w:p>
            <w:pPr>
              <w:spacing w:before="14" w:after="14"/>
            </w:pPr>
            <w:r>
              <w:rPr>
                <w:rFonts w:ascii="Courier New" w:cs="Courier New" w:eastAsia="Courier New" w:hAnsi="Courier New"/>
                <w:color w:val="B8A8F8"/>
                <w:sz w:val="17"/>
                <w:szCs w:val="17"/>
              </w:rPr>
              <w:t xml:space="preserve">Duality gap = 0                        [strong duality, Slater’s condition holds]</w:t>
            </w:r>
          </w:p>
          <w:p>
            <w:pPr>
              <w:spacing w:before="14" w:after="14"/>
            </w:pPr>
            <w:r>
              <w:rPr>
                <w:rFonts w:ascii="Courier New" w:cs="Courier New" w:eastAsia="Courier New" w:hAnsi="Courier New"/>
                <w:color w:val="B8A8F8"/>
                <w:sz w:val="17"/>
                <w:szCs w:val="17"/>
              </w:rPr>
              <w:t xml:space="preserve"/>
            </w:r>
          </w:p>
          <w:p>
            <w:pPr>
              <w:spacing w:before="14" w:after="14"/>
            </w:pPr>
            <w:r>
              <w:rPr>
                <w:rFonts w:ascii="Courier New" w:cs="Courier New" w:eastAsia="Courier New" w:hAnsi="Courier New"/>
                <w:color w:val="B8A8F8"/>
                <w:sz w:val="17"/>
                <w:szCs w:val="17"/>
              </w:rPr>
              <w:t xml:space="preserve">KKT stationarity: E_k/T + log p_k* = log Z  (≡ constant for all k)</w:t>
            </w:r>
          </w:p>
        </w:tc>
      </w:tr>
    </w:tbl>
    <w:p>
      <w:pPr>
        <w:spacing w:before="60" w:after="100"/>
        <w:jc w:val="both"/>
      </w:pPr>
      <w:r>
        <w:rPr>
          <w:rFonts w:ascii="Georgia" w:cs="Georgia" w:eastAsia="Georgia" w:hAnsi="Georgia"/>
          <w:b/>
          <w:bCs/>
          <w:color w:val="1A1A1A"/>
          <w:sz w:val="20"/>
          <w:szCs w:val="20"/>
        </w:rPr>
        <w:t xml:space="preserve">Strong duality holds analytically by construction. </w:t>
      </w:r>
      <w:r>
        <w:rPr>
          <w:rFonts w:ascii="Georgia" w:cs="Georgia" w:eastAsia="Georgia" w:hAnsi="Georgia"/>
          <w:color w:val="1A1A1A"/>
          <w:sz w:val="20"/>
          <w:szCs w:val="20"/>
        </w:rPr>
        <w:t xml:space="preserve">The primal optimal value is A(h) = T log Z by the identity max_{p ∈ Δ^K}[⟨p,E⟩ + T·H(p)] = T log Σ_k exp(E_k/T) (the Gibbs variational principle). The dual optimal value is also A(h). Therefore the duality gap is identically zero for any h. Slater’s condition holds: the interior of the simplex Δ^K is non-empty and contains strictly feasible points.</w:t>
      </w:r>
    </w:p>
    <w:p>
      <w:pPr>
        <w:spacing w:before="60" w:after="100"/>
        <w:jc w:val="both"/>
      </w:pPr>
      <w:r>
        <w:rPr>
          <w:rFonts w:ascii="Georgia" w:cs="Georgia" w:eastAsia="Georgia" w:hAnsi="Georgia"/>
          <w:b/>
          <w:bCs/>
          <w:color w:val="1A1A1A"/>
          <w:sz w:val="20"/>
          <w:szCs w:val="20"/>
        </w:rPr>
        <w:t xml:space="preserve">The KKT stationarity condition E_k/T + log p_k* = log Z is the definition of the softmax. </w:t>
      </w:r>
      <w:r>
        <w:rPr>
          <w:rFonts w:ascii="Georgia" w:cs="Georgia" w:eastAsia="Georgia" w:hAnsi="Georgia"/>
          <w:color w:val="1A1A1A"/>
          <w:sz w:val="20"/>
          <w:szCs w:val="20"/>
        </w:rPr>
        <w:t xml:space="preserve">Setting ∂/∂p_k[⟨p,E⟩ + T·H(p) − λ(Σp_k−1)] = E_k − T(1+log p_k) − λ = 0 gives p_k* = exp(E_k/T)/Z = softmax_k(E/T). Numerical verification shows that E_k/T + log p_k* is constant over k to the precision limited by floating-point underflow of the non-winning class probabilities at T = 2.5.</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12. Synthesis</w:t>
      </w:r>
    </w:p>
    <w:p>
      <w:pPr>
        <w:pStyle w:val="ListParagraph"/>
        <w:numPr>
          <w:ilvl w:val="0"/>
          <w:numId w:val="2"/>
        </w:numPr>
        <w:spacing w:before="40" w:after="40"/>
      </w:pPr>
      <w:r>
        <w:rPr>
          <w:rFonts w:ascii="Georgia" w:cs="Georgia" w:eastAsia="Georgia" w:hAnsi="Georgia"/>
          <w:b/>
          <w:bCs/>
          <w:color w:val="1A1A1A"/>
          <w:sz w:val="20"/>
          <w:szCs w:val="20"/>
        </w:rPr>
        <w:t xml:space="preserve">The classification rule is linear and exactly verifiable. </w:t>
      </w:r>
      <w:r>
        <w:rPr>
          <w:rFonts w:ascii="Georgia" w:cs="Georgia" w:eastAsia="Georgia" w:hAnsi="Georgia"/>
          <w:color w:val="1A1A1A"/>
          <w:sz w:val="20"/>
          <w:szCs w:val="20"/>
        </w:rPr>
        <w:t xml:space="preserve">LLR_k(h) = ⟨δ_k/v₀, h⟩ + b_k, verified at 200/200 samples. The structure w_k = δ_k/v₀ implements automatic feature selection by precision: high-precision dimensions (small v₀_d) contribute more to the classification score.</w:t>
      </w:r>
    </w:p>
    <w:p>
      <w:pPr>
        <w:pStyle w:val="ListParagraph"/>
        <w:numPr>
          <w:ilvl w:val="0"/>
          <w:numId w:val="2"/>
        </w:numPr>
        <w:spacing w:before="40" w:after="40"/>
      </w:pPr>
      <w:r>
        <w:rPr>
          <w:rFonts w:ascii="Georgia" w:cs="Georgia" w:eastAsia="Georgia" w:hAnsi="Georgia"/>
          <w:b/>
          <w:bCs/>
          <w:color w:val="1A1A1A"/>
          <w:sz w:val="20"/>
          <w:szCs w:val="20"/>
        </w:rPr>
        <w:t xml:space="preserve">Margins are tight and uniform (factor 1.89× range). </w:t>
      </w:r>
      <w:r>
        <w:rPr>
          <w:rFonts w:ascii="Georgia" w:cs="Georgia" w:eastAsia="Georgia" w:hAnsi="Georgia"/>
          <w:color w:val="1A1A1A"/>
          <w:sz w:val="20"/>
          <w:szCs w:val="20"/>
        </w:rPr>
        <w:t xml:space="preserve">All 45 geometric margins fall in [0.013, 0.025]. The classifier does not have any dramatically easier or harder class pair in the dual sense, despite large per-class differences in Mahalanobis separation.</w:t>
      </w:r>
    </w:p>
    <w:p>
      <w:pPr>
        <w:pStyle w:val="ListParagraph"/>
        <w:numPr>
          <w:ilvl w:val="0"/>
          <w:numId w:val="2"/>
        </w:numPr>
        <w:spacing w:before="40" w:after="40"/>
      </w:pPr>
      <w:r>
        <w:rPr>
          <w:rFonts w:ascii="Georgia" w:cs="Georgia" w:eastAsia="Georgia" w:hAnsi="Georgia"/>
          <w:b/>
          <w:bCs/>
          <w:color w:val="1A1A1A"/>
          <w:sz w:val="20"/>
          <w:szCs w:val="20"/>
        </w:rPr>
        <w:t xml:space="preserve">KKT is satisfied at machine precision and all boundaries are at the midpoint. </w:t>
      </w:r>
      <w:r>
        <w:rPr>
          <w:rFonts w:ascii="Georgia" w:cs="Georgia" w:eastAsia="Georgia" w:hAnsi="Georgia"/>
          <w:color w:val="1A1A1A"/>
          <w:sz w:val="20"/>
          <w:szCs w:val="20"/>
        </w:rPr>
        <w:t xml:space="preserve">The t* = 0.5000 result is a theorem for equal-prior classes with equal training sizes. It confirms the classifier is implementing the Bayes-optimal boundary, not an approximation to it.</w:t>
      </w:r>
    </w:p>
    <w:p>
      <w:pPr>
        <w:pStyle w:val="ListParagraph"/>
        <w:numPr>
          <w:ilvl w:val="0"/>
          <w:numId w:val="2"/>
        </w:numPr>
        <w:spacing w:before="40" w:after="40"/>
      </w:pPr>
      <w:r>
        <w:rPr>
          <w:rFonts w:ascii="Georgia" w:cs="Georgia" w:eastAsia="Georgia" w:hAnsi="Georgia"/>
          <w:b/>
          <w:bCs/>
          <w:color w:val="1A1A1A"/>
          <w:sz w:val="20"/>
          <w:szCs w:val="20"/>
        </w:rPr>
        <w:t xml:space="preserve">The dual gap G(h) is a perfect rank-order confidence predictor (ρ = 0.995). </w:t>
      </w:r>
      <w:r>
        <w:rPr>
          <w:rFonts w:ascii="Georgia" w:cs="Georgia" w:eastAsia="Georgia" w:hAnsi="Georgia"/>
          <w:color w:val="1A1A1A"/>
          <w:sz w:val="20"/>
          <w:szCs w:val="20"/>
        </w:rPr>
        <w:t xml:space="preserve">Despite poor linear correlation (r = 0.129) due to softmax saturation at T = 2.5, G(h) ranks all samples by confidence in perfect monotone order. G(h) is a valid, easily-computed confidence measure requiring only two forward passes.</w:t>
      </w:r>
    </w:p>
    <w:p>
      <w:pPr>
        <w:pStyle w:val="ListParagraph"/>
        <w:numPr>
          <w:ilvl w:val="0"/>
          <w:numId w:val="2"/>
        </w:numPr>
        <w:spacing w:before="40" w:after="40"/>
      </w:pPr>
      <w:r>
        <w:rPr>
          <w:rFonts w:ascii="Georgia" w:cs="Georgia" w:eastAsia="Georgia" w:hAnsi="Georgia"/>
          <w:b/>
          <w:bCs/>
          <w:color w:val="1A1A1A"/>
          <w:sz w:val="20"/>
          <w:szCs w:val="20"/>
        </w:rPr>
        <w:t xml:space="preserve">Decision regions are convex polytopes with inradii 0.47–0.66 and solid angle 1.000. </w:t>
      </w:r>
      <w:r>
        <w:rPr>
          <w:rFonts w:ascii="Georgia" w:cs="Georgia" w:eastAsia="Georgia" w:hAnsi="Georgia"/>
          <w:color w:val="1A1A1A"/>
          <w:sz w:val="20"/>
          <w:szCs w:val="20"/>
        </w:rPr>
        <w:t xml:space="preserve">The centroids are deeply embedded in their polytopes in 128 dimensions. No random direction from any centroid crosses a boundary at 2×inradius, a high-dimensional geometric effect.</w:t>
      </w:r>
    </w:p>
    <w:p>
      <w:pPr>
        <w:pStyle w:val="ListParagraph"/>
        <w:numPr>
          <w:ilvl w:val="0"/>
          <w:numId w:val="2"/>
        </w:numPr>
        <w:spacing w:before="40" w:after="40"/>
      </w:pPr>
      <w:r>
        <w:rPr>
          <w:rFonts w:ascii="Georgia" w:cs="Georgia" w:eastAsia="Georgia" w:hAnsi="Georgia"/>
          <w:b/>
          <w:bCs/>
          <w:color w:val="1A1A1A"/>
          <w:sz w:val="20"/>
          <w:szCs w:val="20"/>
        </w:rPr>
        <w:t xml:space="preserve">Bregman divergence is r = 0.979-correlated with Euclidean and near-perfectly symmetric. </w:t>
      </w:r>
      <w:r>
        <w:rPr>
          <w:rFonts w:ascii="Georgia" w:cs="Georgia" w:eastAsia="Georgia" w:hAnsi="Georgia"/>
          <w:color w:val="1A1A1A"/>
          <w:sz w:val="20"/>
          <w:szCs w:val="20"/>
        </w:rPr>
        <w:t xml:space="preserve">The convex geometry of the model closely tracks Euclidean geometry at the operating temperature T = 2.5. The symmetry of D_A reflects the near-one-hot concentration of p at each centroid.</w:t>
      </w:r>
    </w:p>
    <w:p>
      <w:pPr>
        <w:pStyle w:val="ListParagraph"/>
        <w:numPr>
          <w:ilvl w:val="0"/>
          <w:numId w:val="2"/>
        </w:numPr>
        <w:spacing w:before="40" w:after="40"/>
      </w:pPr>
      <w:r>
        <w:rPr>
          <w:rFonts w:ascii="Georgia" w:cs="Georgia" w:eastAsia="Georgia" w:hAnsi="Georgia"/>
          <w:b/>
          <w:bCs/>
          <w:color w:val="1A1A1A"/>
          <w:sz w:val="20"/>
          <w:szCs w:val="20"/>
        </w:rPr>
        <w:t xml:space="preserve">The world prior μ₀ maps to net_normal. </w:t>
      </w:r>
      <w:r>
        <w:rPr>
          <w:rFonts w:ascii="Georgia" w:cs="Georgia" w:eastAsia="Georgia" w:hAnsi="Georgia"/>
          <w:color w:val="1A1A1A"/>
          <w:sz w:val="20"/>
          <w:szCs w:val="20"/>
        </w:rPr>
        <w:t xml:space="preserve">The classifier’s default prediction for completely unseen traffic is net_normal (softmax conf 0.991), which is operationally correct: the prior over traffic is dominated by normal activity.</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13. Conclusion</w:t>
      </w:r>
    </w:p>
    <w:p>
      <w:pPr>
        <w:spacing w:before="60" w:after="100"/>
        <w:jc w:val="both"/>
      </w:pPr>
      <w:r>
        <w:rPr>
          <w:rFonts w:ascii="Georgia" w:cs="Georgia" w:eastAsia="Georgia" w:hAnsi="Georgia"/>
          <w:color w:val="1A1A1A"/>
          <w:sz w:val="20"/>
          <w:szCs w:val="20"/>
        </w:rPr>
        <w:t xml:space="preserve">The convex analysis reveals that CyphaDIF is, at its core, a maximum-margin linear classifier in the precision-weighted metric of the latent space, operating on the Bayes-optimal decision boundaries (t* = 0.5000 midpoints) for all 45 class pairs. The dual gap provides a near-perfect confidence ranking (ρ = 0.995), the Fenchel conjugate structure gives the log-partition its information-theoretic interpretation as a scaled negative entropy, and the Bregman divergence confirms that convex geometry tracks Euclidean geometry with r = 0.979 at T = 2.5. The world prior maps to net_normal with high confidence (0.991), providing a geometrically sound default for novel inputs.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1A1A5E"/>
          <w:sz w:val="30"/>
          <w:szCs w:val="30"/>
        </w:rPr>
        <w:t xml:space="preserve">References</w:t>
      </w:r>
    </w:p>
    <w:p>
      <w:pPr>
        <w:spacing w:before="36" w:after="36"/>
      </w:pPr>
      <w:r>
        <w:rPr>
          <w:rFonts w:ascii="Georgia" w:cs="Georgia" w:eastAsia="Georgia" w:hAnsi="Georgia"/>
          <w:color w:val="666666"/>
          <w:sz w:val="17"/>
          <w:szCs w:val="17"/>
        </w:rPr>
        <w:t xml:space="preserve">[1] Boyd, S., &amp; Vandenberghe, L. (2004). Convex Optimization. Cambridge University Press.</w:t>
      </w:r>
    </w:p>
    <w:p>
      <w:pPr>
        <w:spacing w:before="36" w:after="36"/>
      </w:pPr>
      <w:r>
        <w:rPr>
          <w:rFonts w:ascii="Georgia" w:cs="Georgia" w:eastAsia="Georgia" w:hAnsi="Georgia"/>
          <w:color w:val="666666"/>
          <w:sz w:val="17"/>
          <w:szCs w:val="17"/>
        </w:rPr>
        <w:t xml:space="preserve">[2] Rockafellar, R. T. (1970). Convex Analysis. Princeton University Press.</w:t>
      </w:r>
    </w:p>
    <w:p>
      <w:pPr>
        <w:spacing w:before="36" w:after="36"/>
      </w:pPr>
      <w:r>
        <w:rPr>
          <w:rFonts w:ascii="Georgia" w:cs="Georgia" w:eastAsia="Georgia" w:hAnsi="Georgia"/>
          <w:color w:val="666666"/>
          <w:sz w:val="17"/>
          <w:szCs w:val="17"/>
        </w:rPr>
        <w:t xml:space="preserve">[3] Hiriart-Urruty, J.-B., &amp; Lemaréchal, C. (2001). Fundamentals of Convex Analysis. Springer.</w:t>
      </w:r>
    </w:p>
    <w:p>
      <w:pPr>
        <w:spacing w:before="36" w:after="36"/>
      </w:pPr>
      <w:r>
        <w:rPr>
          <w:rFonts w:ascii="Georgia" w:cs="Georgia" w:eastAsia="Georgia" w:hAnsi="Georgia"/>
          <w:color w:val="666666"/>
          <w:sz w:val="17"/>
          <w:szCs w:val="17"/>
        </w:rPr>
        <w:t xml:space="preserve">[4] Bregman, L. M. (1967). The relaxation method of finding the common point of convex sets and its application to the solution of problems in convex programming. USSR Computational Mathematics and Mathematical Physics, 7(3), 200–217.</w:t>
      </w:r>
    </w:p>
    <w:p>
      <w:pPr>
        <w:spacing w:before="36" w:after="36"/>
      </w:pPr>
      <w:r>
        <w:rPr>
          <w:rFonts w:ascii="Georgia" w:cs="Georgia" w:eastAsia="Georgia" w:hAnsi="Georgia"/>
          <w:color w:val="666666"/>
          <w:sz w:val="17"/>
          <w:szCs w:val="17"/>
        </w:rPr>
        <w:t xml:space="preserve">[5] Fenchel, W. (1949). On conjugate convex functions. Canadian Journal of Mathematics, 1(1), 73–77.</w:t>
      </w:r>
    </w:p>
    <w:p>
      <w:pPr>
        <w:spacing w:before="36" w:after="36"/>
      </w:pPr>
      <w:r>
        <w:rPr>
          <w:rFonts w:ascii="Georgia" w:cs="Georgia" w:eastAsia="Georgia" w:hAnsi="Georgia"/>
          <w:color w:val="666666"/>
          <w:sz w:val="17"/>
          <w:szCs w:val="17"/>
        </w:rPr>
        <w:t xml:space="preserve">[6] Cortes, C., &amp; Vapnik, V. (1995). Support-vector networks. Machine Learning, 20(3), 273–297.</w:t>
      </w:r>
    </w:p>
    <w:p>
      <w:pPr>
        <w:spacing w:before="36" w:after="36"/>
      </w:pPr>
      <w:r>
        <w:rPr>
          <w:rFonts w:ascii="Georgia" w:cs="Georgia" w:eastAsia="Georgia" w:hAnsi="Georgia"/>
          <w:color w:val="666666"/>
          <w:sz w:val="17"/>
          <w:szCs w:val="17"/>
        </w:rPr>
        <w:t xml:space="preserve">[7] Schapire, R. E., Freund, Y., Bartlett, P., &amp; Lee, W. S. (1998). Boosting the margin: A new explanation for the effectiveness of voting methods. The Annals of Statistics, 26(5), 1651–1686.</w:t>
      </w:r>
    </w:p>
    <w:p>
      <w:pPr>
        <w:spacing w:before="36" w:after="36"/>
      </w:pPr>
      <w:r>
        <w:rPr>
          <w:rFonts w:ascii="Georgia" w:cs="Georgia" w:eastAsia="Georgia" w:hAnsi="Georgia"/>
          <w:color w:val="666666"/>
          <w:sz w:val="17"/>
          <w:szCs w:val="17"/>
        </w:rPr>
        <w:t xml:space="preserve">[8] Bartlett, P. L., &amp; Mendelson, S. (2002). Rademacher and Gaussian complexities: Risk bounds and structural results. Journal of Machine Learning Research, 3, 463–482.</w:t>
      </w:r>
    </w:p>
    <w:p>
      <w:pPr>
        <w:spacing w:before="36" w:after="36"/>
      </w:pPr>
      <w:r>
        <w:rPr>
          <w:rFonts w:ascii="Georgia" w:cs="Georgia" w:eastAsia="Georgia" w:hAnsi="Georgia"/>
          <w:color w:val="666666"/>
          <w:sz w:val="17"/>
          <w:szCs w:val="17"/>
        </w:rPr>
        <w:t xml:space="preserve">[9] Wainwright, M. J., &amp; Jordan, M. I. (2008). Graphical models, exponential families, and variational inference. Foundations and Trends in Machine Learning, 1(1–2), 1–305.</w:t>
      </w:r>
    </w:p>
    <w:p>
      <w:pPr>
        <w:spacing w:before="36" w:after="36"/>
      </w:pPr>
      <w:r>
        <w:rPr>
          <w:rFonts w:ascii="Georgia" w:cs="Georgia" w:eastAsia="Georgia" w:hAnsi="Georgia"/>
          <w:color w:val="666666"/>
          <w:sz w:val="17"/>
          <w:szCs w:val="17"/>
        </w:rPr>
        <w:t xml:space="preserve">[10] Minka, T. (2005). Divergence measures and message passing. Microsoft Research Technical Report MSR-TR-2005-173.</w:t>
      </w:r>
    </w:p>
    <w:p>
      <w:pPr>
        <w:spacing w:before="36" w:after="36"/>
      </w:pPr>
      <w:r>
        <w:rPr>
          <w:rFonts w:ascii="Georgia" w:cs="Georgia" w:eastAsia="Georgia" w:hAnsi="Georgia"/>
          <w:color w:val="666666"/>
          <w:sz w:val="17"/>
          <w:szCs w:val="17"/>
        </w:rPr>
        <w:t xml:space="preserve">[11] Banerjee, A., Merugu, S., Dhillon, I. S., &amp; Ghosh, J. (2005). Clustering with Bregman divergences. Journal of Machine Learning Research, 6, 1705–1749.</w:t>
      </w:r>
    </w:p>
    <w:p>
      <w:pPr>
        <w:spacing w:before="36" w:after="36"/>
      </w:pPr>
      <w:r>
        <w:rPr>
          <w:rFonts w:ascii="Georgia" w:cs="Georgia" w:eastAsia="Georgia" w:hAnsi="Georgia"/>
          <w:color w:val="666666"/>
          <w:sz w:val="17"/>
          <w:szCs w:val="17"/>
        </w:rPr>
        <w:t xml:space="preserve">[12] Collins, M., Schapire, R. E., &amp; Singer, Y. (2002). Logistic regression, AdaBoost and Bregman distances. Machine Learning, 48(1), 253–285.</w:t>
      </w:r>
    </w:p>
    <w:p>
      <w:pPr>
        <w:spacing w:before="36" w:after="36"/>
      </w:pPr>
      <w:r>
        <w:rPr>
          <w:rFonts w:ascii="Georgia" w:cs="Georgia" w:eastAsia="Georgia" w:hAnsi="Georgia"/>
          <w:color w:val="666666"/>
          <w:sz w:val="17"/>
          <w:szCs w:val="17"/>
        </w:rPr>
        <w:t xml:space="preserve">[13] Nesterov, Y. (2004). Introductory Lectures on Stochastic Optimization. Springer.</w:t>
      </w:r>
    </w:p>
    <w:p>
      <w:pPr>
        <w:spacing w:before="36" w:after="36"/>
      </w:pPr>
      <w:r>
        <w:rPr>
          <w:rFonts w:ascii="Georgia" w:cs="Georgia" w:eastAsia="Georgia" w:hAnsi="Georgia"/>
          <w:color w:val="666666"/>
          <w:sz w:val="17"/>
          <w:szCs w:val="17"/>
        </w:rPr>
        <w:t xml:space="preserve">[14] Bertsekas, D. P. (1999). Nonlinear Programming (2nd ed.). Athena Scientific.</w:t>
      </w:r>
    </w:p>
    <w:p>
      <w:pPr>
        <w:spacing w:before="36" w:after="36"/>
      </w:pPr>
      <w:r>
        <w:rPr>
          <w:rFonts w:ascii="Georgia" w:cs="Georgia" w:eastAsia="Georgia" w:hAnsi="Georgia"/>
          <w:color w:val="666666"/>
          <w:sz w:val="17"/>
          <w:szCs w:val="17"/>
        </w:rPr>
        <w:t xml:space="preserve">[15] Luenberger, D. G., &amp; Ye, Y. (2008). Linear and Nonlinear Programming (3rd ed.). Springer.</w:t>
      </w:r>
    </w:p>
    <w:p>
      <w:pPr>
        <w:spacing w:before="36" w:after="36"/>
      </w:pPr>
      <w:r>
        <w:rPr>
          <w:rFonts w:ascii="Georgia" w:cs="Georgia" w:eastAsia="Georgia" w:hAnsi="Georgia"/>
          <w:color w:val="666666"/>
          <w:sz w:val="17"/>
          <w:szCs w:val="17"/>
        </w:rPr>
        <w:t xml:space="preserve">[16] Nielsen, F., &amp; Nock, R. (2009). Sided and symmetrized Bregman centroids. IEEE Transactions on Information Theory, 55(6), 2882–2904.</w:t>
      </w:r>
    </w:p>
    <w:p>
      <w:pPr>
        <w:spacing w:before="36" w:after="36"/>
      </w:pPr>
      <w:r>
        <w:rPr>
          <w:rFonts w:ascii="Georgia" w:cs="Georgia" w:eastAsia="Georgia" w:hAnsi="Georgia"/>
          <w:color w:val="666666"/>
          <w:sz w:val="17"/>
          <w:szCs w:val="17"/>
        </w:rPr>
        <w:t xml:space="preserve">[17] Jaynes, E. T. (1957). Information theory and statistical mechanics. Physical Review, 106(4), 620–630.</w:t>
      </w:r>
    </w:p>
    <w:p>
      <w:pPr>
        <w:spacing w:before="36" w:after="36"/>
      </w:pPr>
      <w:r>
        <w:rPr>
          <w:rFonts w:ascii="Georgia" w:cs="Georgia" w:eastAsia="Georgia" w:hAnsi="Georgia"/>
          <w:color w:val="666666"/>
          <w:sz w:val="17"/>
          <w:szCs w:val="17"/>
        </w:rPr>
        <w:t xml:space="preserve">[18] Csiszár, I. (1975). I-divergence geometry of probability distributions and minimization problems. The Annals of Probability, 3(1), 146–158.</w:t>
      </w:r>
    </w:p>
    <w:p>
      <w:pPr>
        <w:spacing w:before="36" w:after="36"/>
      </w:pPr>
      <w:r>
        <w:rPr>
          <w:rFonts w:ascii="Georgia" w:cs="Georgia" w:eastAsia="Georgia" w:hAnsi="Georgia"/>
          <w:color w:val="666666"/>
          <w:sz w:val="17"/>
          <w:szCs w:val="17"/>
        </w:rPr>
        <w:t xml:space="preserve">[19] Tibshirani, R. (1996). Regression shrinkage and selection via the Lasso. Journal of the Royal Statistical Society: Series B, 58(1), 267–288.</w:t>
      </w:r>
    </w:p>
    <w:p>
      <w:pPr>
        <w:spacing w:before="36" w:after="36"/>
      </w:pPr>
      <w:r>
        <w:rPr>
          <w:rFonts w:ascii="Georgia" w:cs="Georgia" w:eastAsia="Georgia" w:hAnsi="Georgia"/>
          <w:color w:val="666666"/>
          <w:sz w:val="17"/>
          <w:szCs w:val="17"/>
        </w:rPr>
        <w:t xml:space="preserve">[20] Platt, J. (1999). Probabilistic outputs for support vector machines and comparisons to regularized likelihood methods. Advances in Large Margin Classifiers, 10(3), 61–74.</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CyphaDIF: Convex Analysis &amp; Duality  |  Page </w:t>
    </w:r>
    <w:r>
      <w:rPr>
        <w:rFonts w:ascii="Georgia" w:cs="Georgia" w:eastAsia="Georgia" w:hAnsi="Georgia"/>
        <w:color w:val="666666"/>
        <w:sz w:val="18"/>
        <w:szCs w:val="18"/>
      </w:rPr>
      <w:fldChar w:fldCharType="begin"/>
      <w:instrText xml:space="preserve">PAGE</w:instrText>
      <w:fldChar w:fldCharType="separate"/>
      <w:fldChar w:fldCharType="end"/>
    </w:r>
    <w:r>
      <w:rPr>
        <w:rFonts w:ascii="Georgia" w:cs="Georgia" w:eastAsia="Georgia" w:hAnsi="Georgia"/>
        <w:i/>
        <w:iCs/>
        <w:color w:val="666666"/>
        <w:sz w:val="18"/>
        <w:szCs w:val="18"/>
      </w:rPr>
      <w:t xml:space="preserve">  |  Unpublished Technical Report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A1A5E"/>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3D1A8B"/>
      <w:sz w:val="25"/>
      <w:szCs w:val="25"/>
    </w:rPr>
  </w:style>
  <w:style w:type="paragraph" w:styleId="Heading3">
    <w:name w:val="Heading 3"/>
    <w:basedOn w:val="Normal"/>
    <w:next w:val="Normal"/>
    <w:qFormat/>
    <w:pPr>
      <w:spacing w:before="180" w:after="80"/>
      <w:outlineLvl w:val="2"/>
    </w:pPr>
    <w:rPr>
      <w:rFonts w:ascii="Arial" w:cs="Arial" w:eastAsia="Arial" w:hAnsi="Arial"/>
      <w:b/>
      <w:bCs/>
      <w:color w:val="0E4F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2026-03-10T08:19:59.975Z</dcterms:created>
  <dcterms:modified xsi:type="dcterms:W3CDTF">2026-03-10T08:19:59.976Z</dcterms:modified>
</cp:coreProperties>
</file>

<file path=docProps/custom.xml><?xml version="1.0" encoding="utf-8"?>
<Properties xmlns="http://schemas.openxmlformats.org/officeDocument/2006/custom-properties" xmlns:vt="http://schemas.openxmlformats.org/officeDocument/2006/docPropsVTypes"/>
</file>