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A3A5C" w:val="clear"/>
            <w:tcMar>
              <w:top w:type="dxa" w:w="480"/>
              <w:left w:type="dxa" w:w="480"/>
              <w:bottom w:type="dxa" w:w="480"/>
              <w:right w:type="dxa" w:w="480"/>
            </w:tcMar>
          </w:tcPr>
          <w:p>
            <w:pPr>
              <w:spacing w:before="0" w:after="80"/>
              <w:jc w:val="center"/>
            </w:pPr>
            <w:r>
              <w:rPr>
                <w:rFonts w:ascii="Arial" w:cs="Arial" w:eastAsia="Arial" w:hAnsi="Arial"/>
                <w:b/>
                <w:bCs/>
                <w:color w:val="FFFFFF"/>
                <w:sz w:val="40"/>
                <w:szCs w:val="40"/>
              </w:rPr>
              <w:t xml:space="preserve">A Group-Theoretic Analysis of the Differential</w:t>
            </w:r>
          </w:p>
          <w:p>
            <w:pPr>
              <w:spacing w:before="0" w:after="120"/>
              <w:jc w:val="center"/>
            </w:pPr>
            <w:r>
              <w:rPr>
                <w:rFonts w:ascii="Arial" w:cs="Arial" w:eastAsia="Arial" w:hAnsi="Arial"/>
                <w:b/>
                <w:bCs/>
                <w:color w:val="FFFFFF"/>
                <w:sz w:val="40"/>
                <w:szCs w:val="40"/>
              </w:rPr>
              <w:t xml:space="preserve">Information Field Classifier</w:t>
            </w:r>
          </w:p>
          <w:p>
            <w:pPr>
              <w:spacing w:before="0" w:after="80"/>
              <w:jc w:val="center"/>
            </w:pPr>
            <w:r>
              <w:rPr>
                <w:rFonts w:ascii="Arial" w:cs="Arial" w:eastAsia="Arial" w:hAnsi="Arial"/>
                <w:i/>
                <w:iCs/>
                <w:color w:val="A8C8E8"/>
                <w:sz w:val="22"/>
                <w:szCs w:val="22"/>
              </w:rPr>
              <w:t xml:space="preserve">Riemannian Geometry, Lie Algebras, Spectral Theory, and Large Deviation Analysis</w:t>
            </w:r>
          </w:p>
          <w:p>
            <w:pPr>
              <w:spacing w:before="60" w:after="0"/>
              <w:jc w:val="center"/>
            </w:pPr>
            <w:r>
              <w:rPr>
                <w:rFonts w:ascii="Arial" w:cs="Arial" w:eastAsia="Arial" w:hAnsi="Arial"/>
                <w:color w:val="8AACC8"/>
                <w:sz w:val="20"/>
                <w:szCs w:val="20"/>
              </w:rPr>
              <w:t xml:space="preserve">Unpublished Technical Report — 2026</w:t>
            </w:r>
          </w:p>
        </w:tc>
      </w:tr>
    </w:tbl>
    <w:p>
      <w:pPr>
        <w:spacing w:before="400" w:after="0"/>
      </w:pPr>
      <w:r>
        <w:rPr>
          <w:rFonts w:ascii="Times New Roman" w:cs="Times New Roman" w:eastAsia="Times New Roman" w:hAnsi="Times New Roman"/>
          <w:color w:val="333333"/>
          <w:sz w:val="20"/>
          <w:szCs w:val="20"/>
        </w:rPr>
        <w:t xml:space="preserve"/>
      </w:r>
    </w:p>
    <w:p>
      <w:pPr>
        <w:spacing w:before="0" w:after="80"/>
      </w:pPr>
      <w:r>
        <w:rPr>
          <w:rFonts w:ascii="Arial" w:cs="Arial" w:eastAsia="Arial" w:hAnsi="Arial"/>
          <w:b/>
          <w:bCs/>
          <w:color w:val="1A3A5C"/>
          <w:sz w:val="22"/>
          <w:szCs w:val="22"/>
        </w:rPr>
        <w:t xml:space="preserve">Abstract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BF2FA" w:val="clear"/>
            <w:tcMar>
              <w:top w:type="dxa" w:w="120"/>
              <w:left w:type="dxa" w:w="240"/>
              <w:bottom w:type="dxa" w:w="120"/>
              <w:right w:type="dxa" w:w="240"/>
            </w:tcMar>
          </w:tcPr>
          <w:p>
            <w:pPr>
              <w:spacing w:before="60" w:after="100"/>
              <w:jc w:val="both"/>
            </w:pPr>
            <w:r>
              <w:rPr>
                <w:rFonts w:ascii="Times New Roman" w:cs="Times New Roman" w:eastAsia="Times New Roman" w:hAnsi="Times New Roman"/>
                <w:color w:val="333333"/>
                <w:sz w:val="20"/>
                <w:szCs w:val="20"/>
              </w:rPr>
              <w:t xml:space="preserve">We present a comprehensive group-theoretic and information-geometric analysis of CyphaDIF, an online classifier for raw byte streams based on the Differential Information Field (DIF) architecture. CyphaDIF classifies inputs as elements of a coset space on the manifold of diagonal Gaussian distributions, using natural gradient updates, Minimum Description Length (MDL) decay, and contrastive encoder feedback. We conduct fourteen quantitative probes spanning Riemannian geometry, Lie algebra theory, spectral analysis, representation theory, diffusion geometry, ergodic theory, large deviation theory, and Cramér-Rao efficiency. Key findings: (1) the Fisher-Rao metric amplifies inter-class distances by a factor of 7.63× relative to Euclidean distance, placing all ten classes on geometrically irreducible positions; (2) the attraction operators form a non-abelian Lie algebra that is nevertheless a closed ideal in the centroid vector space; (3) the operator algebra is semisimple in the sense of Wedderburn, with full Gram matrix rank; (4) class centroids are separated at 9.4σ above the Cramér-Rao minimum, explained by the MDL-attract equilibrium; (5) Chernoff error exponents range from 8.01 nats (hardest pair) to 43.7 nats (easiest), bounding worst-case error probability at 3.3× 10⁻⁴; (6) the NIGField temporal component is provably stable with Lyapunov exponent −0.024 and mixing time 41.6 steps; (7) diffusion geometry on the centroid manifold correlates with Fisher-Rao geometry at r≈0.88. These results collectively establish CyphaDIF as a classifier whose empirical behaviour is fully explained by, and consistent with, its mathematical foundations.</w:t>
            </w:r>
          </w:p>
        </w:tc>
      </w:tr>
    </w:tbl>
    <w:p>
      <w:pPr>
        <w:spacing w:before="200" w:after="0"/>
      </w:pPr>
      <w:r>
        <w:rPr>
          <w:rFonts w:ascii="Times New Roman" w:cs="Times New Roman" w:eastAsia="Times New Roman" w:hAnsi="Times New Roman"/>
          <w:color w:val="333333"/>
          <w:sz w:val="20"/>
          <w:szCs w:val="20"/>
        </w:rPr>
        <w:t xml:space="preserve"/>
      </w:r>
    </w:p>
    <w:p>
      <w:pPr>
        <w:pStyle w:val="Heading1"/>
        <w:spacing w:before="360" w:after="160"/>
      </w:pPr>
      <w:r>
        <w:rPr>
          <w:rFonts w:ascii="Arial" w:cs="Arial" w:eastAsia="Arial" w:hAnsi="Arial"/>
          <w:b/>
          <w:bCs/>
          <w:color w:val="1A3A5C"/>
          <w:sz w:val="28"/>
          <w:szCs w:val="28"/>
        </w:rPr>
        <w:t xml:space="preserve">1. Introduction</w:t>
      </w:r>
    </w:p>
    <w:p>
      <w:pPr>
        <w:spacing w:before="60" w:after="100"/>
        <w:jc w:val="both"/>
      </w:pPr>
      <w:r>
        <w:rPr>
          <w:rFonts w:ascii="Times New Roman" w:cs="Times New Roman" w:eastAsia="Times New Roman" w:hAnsi="Times New Roman"/>
          <w:color w:val="333333"/>
          <w:sz w:val="20"/>
          <w:szCs w:val="20"/>
        </w:rPr>
        <w:t xml:space="preserve">The Differential Information Field (DIF) architecture is an online classifier derived from four theoretical traditions: the Free Energy Principle and Active Inference [1,2], information geometry on the Gaussian manifold [3,4], Minimum Description Length (MDL) theory [5,6], and contrastive metric learning [7]. The resulting system classifies raw byte streams in real time without preprocessing, without a GPU, and without a fixed schema.</w:t>
      </w:r>
    </w:p>
    <w:p>
      <w:pPr>
        <w:spacing w:before="60" w:after="100"/>
        <w:jc w:val="both"/>
      </w:pPr>
      <w:r>
        <w:rPr>
          <w:rFonts w:ascii="Times New Roman" w:cs="Times New Roman" w:eastAsia="Times New Roman" w:hAnsi="Times New Roman"/>
          <w:color w:val="333333"/>
          <w:sz w:val="20"/>
          <w:szCs w:val="20"/>
        </w:rPr>
        <w:t xml:space="preserve">Prior work established the architecture and its empirical performance [8]. This paper conducts a systematic group-theoretic and differential-geometric analysis of the trained classifier, treating the centroid configuration, operator algebra, and encoder matrix as mathematical objects to be characterised by the tools of pure mathematics.</w:t>
      </w:r>
    </w:p>
    <w:p>
      <w:pPr>
        <w:spacing w:before="60" w:after="100"/>
        <w:jc w:val="both"/>
      </w:pPr>
      <w:r>
        <w:rPr>
          <w:rFonts w:ascii="Times New Roman" w:cs="Times New Roman" w:eastAsia="Times New Roman" w:hAnsi="Times New Roman"/>
          <w:color w:val="333333"/>
          <w:sz w:val="20"/>
          <w:szCs w:val="20"/>
        </w:rPr>
        <w:t xml:space="preserve">The analysis is structured around fourteen quantitative probes, each addressing a specific mathematical property of the system. The probes are not independent — findings in one constrain what is possible in others — and together they form a coherent picture of the classifier's algebraic and geometric structure.</w:t>
      </w:r>
    </w:p>
    <w:p>
      <w:pPr>
        <w:spacing w:before="60" w:after="100"/>
        <w:jc w:val="both"/>
      </w:pPr>
      <w:r>
        <w:rPr>
          <w:rFonts w:ascii="Times New Roman" w:cs="Times New Roman" w:eastAsia="Times New Roman" w:hAnsi="Times New Roman"/>
          <w:b/>
          <w:bCs/>
          <w:color w:val="333333"/>
          <w:sz w:val="20"/>
          <w:szCs w:val="20"/>
        </w:rPr>
        <w:t xml:space="preserve">Contributions. </w:t>
      </w:r>
      <w:r>
        <w:rPr>
          <w:rFonts w:ascii="Times New Roman" w:cs="Times New Roman" w:eastAsia="Times New Roman" w:hAnsi="Times New Roman"/>
          <w:color w:val="333333"/>
          <w:sz w:val="20"/>
          <w:szCs w:val="20"/>
        </w:rPr>
        <w:t xml:space="preserve">(i) We show the attraction operators on the Gaussian manifold form a non-abelian Lie algebra that is a closed ideal. (ii) We characterise the Gram matrix of class centroids as semisimple in the sense of Wedderburn-Artin. (iii) We explain the apparent Cramér-Rao violation as the signature of MDL-attract equilibrium, deriving the correct SNR formula. (iv) We bound worst-case error probability via Chernoff exponents over all 45 class pairs. (v) We prove stability of the NIGField temporal component via spectral radius and Lyapunov analysis. (vi) We establish that diffusion geometry on the centroid manifold approximates Fisher-Rao geometry, validating the information-geometric interpretation of the classifier.</w:t>
      </w:r>
    </w:p>
    <w:p>
      <w:pPr>
        <w:spacing w:before="120" w:after="0"/>
      </w:pPr>
      <w:r>
        <w:rPr>
          <w:rFonts w:ascii="Times New Roman" w:cs="Times New Roman" w:eastAsia="Times New Roman" w:hAnsi="Times New Roman"/>
          <w:color w:val="333333"/>
          <w:sz w:val="20"/>
          <w:szCs w:val="20"/>
        </w:rPr>
        <w:t xml:space="preserve"/>
      </w:r>
    </w:p>
    <w:p>
      <w:pPr>
        <w:pStyle w:val="Heading1"/>
        <w:spacing w:before="360" w:after="160"/>
      </w:pPr>
      <w:r>
        <w:rPr>
          <w:rFonts w:ascii="Arial" w:cs="Arial" w:eastAsia="Arial" w:hAnsi="Arial"/>
          <w:b/>
          <w:bCs/>
          <w:color w:val="1A3A5C"/>
          <w:sz w:val="28"/>
          <w:szCs w:val="28"/>
        </w:rPr>
        <w:t xml:space="preserve">2. Background and Related Work</w:t>
      </w:r>
    </w:p>
    <w:p>
      <w:pPr>
        <w:pStyle w:val="Heading2"/>
        <w:spacing w:before="260" w:after="100"/>
      </w:pPr>
      <w:r>
        <w:rPr>
          <w:rFonts w:ascii="Arial" w:cs="Arial" w:eastAsia="Arial" w:hAnsi="Arial"/>
          <w:b/>
          <w:bCs/>
          <w:color w:val="1A3A5C"/>
          <w:sz w:val="24"/>
          <w:szCs w:val="24"/>
        </w:rPr>
        <w:t xml:space="preserve">2.1 The DIF Architecture</w:t>
      </w:r>
    </w:p>
    <w:p>
      <w:pPr>
        <w:spacing w:before="60" w:after="100"/>
        <w:jc w:val="both"/>
      </w:pPr>
      <w:r>
        <w:rPr>
          <w:rFonts w:ascii="Times New Roman" w:cs="Times New Roman" w:eastAsia="Times New Roman" w:hAnsi="Times New Roman"/>
          <w:color w:val="333333"/>
          <w:sz w:val="20"/>
          <w:szCs w:val="20"/>
        </w:rPr>
        <w:t xml:space="preserve">CyphaDIF maintains a world prior θ₀ = (μ₀, v₀), a diagonal Gaussian model of all inputs, fitted online via Welford's algorithm [9]. Each class k is represented by a differential offset Δk = Δμ_k ∈ ℝᵈ, so that the class model 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16" w:after="16"/>
            </w:pPr>
            <w:r>
              <w:rPr>
                <w:rFonts w:ascii="Courier New" w:cs="Courier New" w:eastAsia="Courier New" w:hAnsi="Courier New"/>
                <w:color w:val="A8D8EA"/>
                <w:sz w:val="17"/>
                <w:szCs w:val="17"/>
              </w:rPr>
              <w:t xml:space="preserve">θk = θ₀ ⊕ Δk     i.e.    μk = μ₀ + Δμk,    vk = v₀</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A8D8EA"/>
                <w:sz w:val="17"/>
                <w:szCs w:val="17"/>
              </w:rPr>
              <w:t xml:space="preserve">Classification:  y* = argmax_k [ log p(h | θk) - log p(h | θ₀) - Uk ]</w:t>
            </w:r>
          </w:p>
          <w:p>
            <w:pPr>
              <w:spacing w:before="16" w:after="16"/>
            </w:pPr>
            <w:r>
              <w:rPr>
                <w:rFonts w:ascii="Courier New" w:cs="Courier New" w:eastAsia="Courier New" w:hAnsi="Courier New"/>
                <w:color w:val="A8D8EA"/>
                <w:sz w:val="17"/>
                <w:szCs w:val="17"/>
              </w:rPr>
              <w:t xml:space="preserve">Natural gradient: Δμk += η(h - μk)   [attract]</w:t>
            </w:r>
          </w:p>
          <w:p>
            <w:pPr>
              <w:spacing w:before="16" w:after="16"/>
            </w:pPr>
            <w:r>
              <w:rPr>
                <w:rFonts w:ascii="Courier New" w:cs="Courier New" w:eastAsia="Courier New" w:hAnsi="Courier New"/>
                <w:color w:val="A8D8EA"/>
                <w:sz w:val="17"/>
                <w:szCs w:val="17"/>
              </w:rPr>
              <w:t xml:space="preserve">                  Δμj -= η wj(h - μj)  [repel, wj = posterior(j)]</w:t>
            </w:r>
          </w:p>
          <w:p>
            <w:pPr>
              <w:spacing w:before="16" w:after="16"/>
            </w:pPr>
            <w:r>
              <w:rPr>
                <w:rFonts w:ascii="Courier New" w:cs="Courier New" w:eastAsia="Courier New" w:hAnsi="Courier New"/>
                <w:color w:val="A8D8EA"/>
                <w:sz w:val="17"/>
                <w:szCs w:val="17"/>
              </w:rPr>
              <w:t xml:space="preserve">MDL decay:        Δμk *= (1 - λ)         [λ = 0.002]</w:t>
            </w:r>
          </w:p>
        </w:tc>
      </w:tr>
    </w:tbl>
    <w:p>
      <w:pPr>
        <w:spacing w:before="60" w:after="100"/>
        <w:jc w:val="both"/>
      </w:pPr>
      <w:r>
        <w:rPr>
          <w:rFonts w:ascii="Times New Roman" w:cs="Times New Roman" w:eastAsia="Times New Roman" w:hAnsi="Times New Roman"/>
          <w:color w:val="333333"/>
          <w:sz w:val="20"/>
          <w:szCs w:val="20"/>
        </w:rPr>
        <w:t xml:space="preserve">The term Uk = mean(v₀)/(n_k + 1) is an epistemic uncertainty penalty. The encoder h = W f maps 128-dimensional structural features to the latent space. W is initialised as a random orthogonal matrix and updated contrastively via Fisher-Rao score residuals.</w:t>
      </w:r>
    </w:p>
    <w:p>
      <w:pPr>
        <w:pStyle w:val="Heading2"/>
        <w:spacing w:before="260" w:after="100"/>
      </w:pPr>
      <w:r>
        <w:rPr>
          <w:rFonts w:ascii="Arial" w:cs="Arial" w:eastAsia="Arial" w:hAnsi="Arial"/>
          <w:b/>
          <w:bCs/>
          <w:color w:val="1A3A5C"/>
          <w:sz w:val="24"/>
          <w:szCs w:val="24"/>
        </w:rPr>
        <w:t xml:space="preserve">2.2 Related Work</w:t>
      </w:r>
    </w:p>
    <w:p>
      <w:pPr>
        <w:spacing w:before="60" w:after="100"/>
        <w:jc w:val="both"/>
      </w:pPr>
      <w:r>
        <w:rPr>
          <w:rFonts w:ascii="Times New Roman" w:cs="Times New Roman" w:eastAsia="Times New Roman" w:hAnsi="Times New Roman"/>
          <w:color w:val="333333"/>
          <w:sz w:val="20"/>
          <w:szCs w:val="20"/>
        </w:rPr>
        <w:t xml:space="preserve">The information geometry of the Gaussian manifold is classical [3,4]. Amari's natural gradient [3] achieves Cramér-Rao efficiency on exponential family models, which Gaussian classifiers instantiate. The MDL principle as an Occam prior has a long history [5,6,10]. The Active Inference interpretation of classification as free energy minimisation follows Friston et al. [1,2]. Online classification with MDL regularisation connects to PAC-Bayes bounds [11,12]. Galois theory applied to neural networks is recent and nascent [13]. Heat kernels on graph Laplacians are classical in spectral geometry [14]. Large deviation theory for hypothesis testing originates with Chernoff [15] and Stein [16].</w:t>
      </w:r>
    </w:p>
    <w:p>
      <w:pPr>
        <w:spacing w:before="120" w:after="0"/>
      </w:pPr>
      <w:r>
        <w:rPr>
          <w:rFonts w:ascii="Times New Roman" w:cs="Times New Roman" w:eastAsia="Times New Roman" w:hAnsi="Times New Roman"/>
          <w:color w:val="333333"/>
          <w:sz w:val="20"/>
          <w:szCs w:val="20"/>
        </w:rPr>
        <w:t xml:space="preserve"/>
      </w:r>
    </w:p>
    <w:p>
      <w:pPr>
        <w:pStyle w:val="Heading1"/>
        <w:spacing w:before="360" w:after="160"/>
      </w:pPr>
      <w:r>
        <w:rPr>
          <w:rFonts w:ascii="Arial" w:cs="Arial" w:eastAsia="Arial" w:hAnsi="Arial"/>
          <w:b/>
          <w:bCs/>
          <w:color w:val="1A3A5C"/>
          <w:sz w:val="28"/>
          <w:szCs w:val="28"/>
        </w:rPr>
        <w:t xml:space="preserve">3. Experimental Setup</w:t>
      </w:r>
    </w:p>
    <w:p>
      <w:pPr>
        <w:spacing w:before="60" w:after="100"/>
        <w:jc w:val="both"/>
      </w:pPr>
      <w:r>
        <w:rPr>
          <w:rFonts w:ascii="Times New Roman" w:cs="Times New Roman" w:eastAsia="Times New Roman" w:hAnsi="Times New Roman"/>
          <w:color w:val="333333"/>
          <w:sz w:val="20"/>
          <w:szCs w:val="20"/>
        </w:rPr>
        <w:t xml:space="preserve">All experiments use a 10-class network/log/binary classification task with classes: net_normal, net_scan, net_ddos, net_exfil, net_c2, log_info, log_warn, log_error, bin_malware, bin_benign. Training: 100 samples per class, 3 epochs (3,000 total updates). Test: 50 samples per class (500 total). CyphaDIF achieves macro accuracy 1.0000 on this task at convergence.</w:t>
      </w:r>
    </w:p>
    <w:p>
      <w:pPr>
        <w:spacing w:before="60" w:after="100"/>
        <w:jc w:val="both"/>
      </w:pPr>
      <w:r>
        <w:rPr>
          <w:rFonts w:ascii="Times New Roman" w:cs="Times New Roman" w:eastAsia="Times New Roman" w:hAnsi="Times New Roman"/>
          <w:color w:val="333333"/>
          <w:sz w:val="20"/>
          <w:szCs w:val="20"/>
        </w:rPr>
        <w:t xml:space="preserve">The classifier operates in a 128-dimensional latent space h = Wf, where f ∈ ℝ¹²⁸ is the StructuralParser output. Key constants: η = 0.08 (attraction rate), λ = 0.002 (MDL decay), T = 2.5 (temperature, fixed). All probes are computed on the trained, converged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Parameter</w:t>
            </w:r>
          </w:p>
        </w:tc>
        <w:tc>
          <w:tcPr>
            <w:tcW w:type="dxa" w:w="20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Value</w:t>
            </w:r>
          </w:p>
        </w:tc>
        <w:tc>
          <w:tcPr>
            <w:tcW w:type="dxa" w:w="40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Source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η (attraction rate)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0.08</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27,524-config sweep</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λ (MDL decay)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0.002</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27,524-config sweep</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Temperature 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2.5 (fixed)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Sweep: decay=1.0 optimal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Dedup threshold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0.60</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Sweep: most sensitive param</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Replay ratio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0.30</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Sweep: 3rd most sensitive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Encoder dim 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128</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Architecture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Field dim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128</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Architecture</w:t>
            </w:r>
          </w:p>
        </w:tc>
      </w:tr>
    </w:tbl>
    <w:p>
      <w:pPr>
        <w:spacing w:before="200" w:after="0"/>
      </w:pPr>
      <w:r>
        <w:rPr>
          <w:rFonts w:ascii="Times New Roman" w:cs="Times New Roman" w:eastAsia="Times New Roman" w:hAnsi="Times New Roman"/>
          <w:color w:val="333333"/>
          <w:sz w:val="20"/>
          <w:szCs w:val="20"/>
        </w:rPr>
        <w:t xml:space="preserve"/>
      </w:r>
    </w:p>
    <w:p>
      <w:pPr>
        <w:pStyle w:val="Heading1"/>
        <w:spacing w:before="360" w:after="160"/>
      </w:pPr>
      <w:r>
        <w:rPr>
          <w:rFonts w:ascii="Arial" w:cs="Arial" w:eastAsia="Arial" w:hAnsi="Arial"/>
          <w:b/>
          <w:bCs/>
          <w:color w:val="1A3A5C"/>
          <w:sz w:val="28"/>
          <w:szCs w:val="28"/>
        </w:rPr>
        <w:t xml:space="preserve">4. Riemannian Geometry of the Centroid Configuration</w:t>
      </w:r>
    </w:p>
    <w:p>
      <w:pPr>
        <w:pStyle w:val="Heading2"/>
        <w:spacing w:before="260" w:after="100"/>
      </w:pPr>
      <w:r>
        <w:rPr>
          <w:rFonts w:ascii="Arial" w:cs="Arial" w:eastAsia="Arial" w:hAnsi="Arial"/>
          <w:b/>
          <w:bCs/>
          <w:color w:val="1A3A5C"/>
          <w:sz w:val="24"/>
          <w:szCs w:val="24"/>
        </w:rPr>
        <w:t xml:space="preserve">4.1 Fisher-Rao Metric and Metric Distortion</w:t>
      </w:r>
    </w:p>
    <w:p>
      <w:pPr>
        <w:spacing w:before="60" w:after="100"/>
        <w:jc w:val="both"/>
      </w:pPr>
      <w:r>
        <w:rPr>
          <w:rFonts w:ascii="Times New Roman" w:cs="Times New Roman" w:eastAsia="Times New Roman" w:hAnsi="Times New Roman"/>
          <w:color w:val="333333"/>
          <w:sz w:val="20"/>
          <w:szCs w:val="20"/>
        </w:rPr>
        <w:t xml:space="preserve">The space of diagonal Gaussians N(μ, v₀) with fixed variance forms a flat Riemannian manifold with the Fisher-Rao metric g = diag(1/v₀) [3,4]. The Fisher-Rao (FR) distance between class models k and j 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16" w:after="16"/>
            </w:pPr>
            <w:r>
              <w:rPr>
                <w:rFonts w:ascii="Courier New" w:cs="Courier New" w:eastAsia="Courier New" w:hAnsi="Courier New"/>
                <w:color w:val="A8D8EA"/>
                <w:sz w:val="17"/>
                <w:szCs w:val="17"/>
              </w:rPr>
              <w:t xml:space="preserve">d_FR(k,j) = ‖μk - μj‖_{v₀} = sqrt(Σ_d (μk_d - μj_d)² / v₀_d)</w:t>
            </w:r>
          </w:p>
        </w:tc>
      </w:tr>
    </w:tbl>
    <w:p>
      <w:pPr>
        <w:spacing w:before="60" w:after="100"/>
        <w:jc w:val="both"/>
      </w:pPr>
      <w:r>
        <w:rPr>
          <w:rFonts w:ascii="Times New Roman" w:cs="Times New Roman" w:eastAsia="Times New Roman" w:hAnsi="Times New Roman"/>
          <w:color w:val="333333"/>
          <w:sz w:val="20"/>
          <w:szCs w:val="20"/>
        </w:rPr>
        <w:t xml:space="preserve">This is the Mahalanobis distance under the world prior covariance. We measured the FR and Euclidean distances across all 45 class pairs: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80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Metric</w:t>
            </w:r>
          </w:p>
        </w:tc>
        <w:tc>
          <w:tcPr>
            <w:tcW w:type="dxa" w:w="18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Mean</w:t>
            </w:r>
          </w:p>
        </w:tc>
        <w:tc>
          <w:tcPr>
            <w:tcW w:type="dxa" w:w="18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Std</w:t>
            </w:r>
          </w:p>
        </w:tc>
        <w:tc>
          <w:tcPr>
            <w:tcW w:type="dxa" w:w="18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Min</w:t>
            </w:r>
          </w:p>
        </w:tc>
        <w:tc>
          <w:tcPr>
            <w:tcW w:type="dxa" w:w="18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Max</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Fisher-Rao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14.012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2.811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8.006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18.706</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Euclidean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1.852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0.426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0.980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2.754</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FR/EU ratio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7.629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0.368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6.734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8.334</w:t>
            </w:r>
          </w:p>
        </w:tc>
      </w:tr>
    </w:tbl>
    <w:p>
      <w:pPr>
        <w:spacing w:before="100" w:after="0"/>
      </w:pPr>
      <w:r>
        <w:rPr>
          <w:rFonts w:ascii="Times New Roman" w:cs="Times New Roman" w:eastAsia="Times New Roman" w:hAnsi="Times New Roman"/>
          <w:color w:val="333333"/>
          <w:sz w:val="20"/>
          <w:szCs w:val="20"/>
        </w:rPr>
        <w:t xml:space="preserve"/>
      </w:r>
    </w:p>
    <w:p>
      <w:pPr>
        <w:spacing w:before="60" w:after="100"/>
        <w:jc w:val="both"/>
      </w:pPr>
      <w:r>
        <w:rPr>
          <w:rFonts w:ascii="Times New Roman" w:cs="Times New Roman" w:eastAsia="Times New Roman" w:hAnsi="Times New Roman"/>
          <w:color w:val="333333"/>
          <w:sz w:val="20"/>
          <w:szCs w:val="20"/>
        </w:rPr>
        <w:t xml:space="preserve">The mean FR/Euclidean ratio of 7.63 indicates that the world prior v₀ systematically amplifies class separations by this factor. This is not a coincidence: the structural parser generates features whose variance is concentrated in a few high-signal dimensions (keyword scores, positional bytes), and the world prior learns these variances, amplifying the Fisher-Rao distances in those dimensions.</w:t>
      </w:r>
    </w:p>
    <w:p>
      <w:pPr>
        <w:spacing w:before="60" w:after="100"/>
        <w:jc w:val="both"/>
      </w:pPr>
      <w:r>
        <w:rPr>
          <w:rFonts w:ascii="Times New Roman" w:cs="Times New Roman" w:eastAsia="Times New Roman" w:hAnsi="Times New Roman"/>
          <w:color w:val="333333"/>
          <w:sz w:val="20"/>
          <w:szCs w:val="20"/>
        </w:rPr>
        <w:t xml:space="preserve">The FR metric changes the nearest-neighbour topology for 1/10 classes. The triangle inequality has zero violations in FR space, confirming the metric is flat (zero curvature), consistent with the diagonal Gaussian manifold being isometric to Euclidean space under the coordinate change h → h / √v₀.</w:t>
      </w:r>
    </w:p>
    <w:p>
      <w:pPr>
        <w:pStyle w:val="Heading2"/>
        <w:spacing w:before="260" w:after="100"/>
      </w:pPr>
      <w:r>
        <w:rPr>
          <w:rFonts w:ascii="Arial" w:cs="Arial" w:eastAsia="Arial" w:hAnsi="Arial"/>
          <w:b/>
          <w:bCs/>
          <w:color w:val="1A3A5C"/>
          <w:sz w:val="24"/>
          <w:szCs w:val="24"/>
        </w:rPr>
        <w:t xml:space="preserve">4.2 Geometric Irreducibility</w:t>
      </w:r>
    </w:p>
    <w:p>
      <w:pPr>
        <w:spacing w:before="60" w:after="100"/>
        <w:jc w:val="both"/>
      </w:pPr>
      <w:r>
        <w:rPr>
          <w:rFonts w:ascii="Times New Roman" w:cs="Times New Roman" w:eastAsia="Times New Roman" w:hAnsi="Times New Roman"/>
          <w:color w:val="333333"/>
          <w:sz w:val="20"/>
          <w:szCs w:val="20"/>
        </w:rPr>
        <w:t xml:space="preserve">All 10 class centroids are geometrically irreducible: no centroid lies in the convex hull of the others in natural parameter space η_k = μ_k/v₀. This is a necessary condition for unique class identification — a class in the convex hull of others could be generated by mixing other class models, making it algebraically redundant.</w:t>
      </w:r>
    </w:p>
    <w:p>
      <w:pPr>
        <w:pStyle w:val="Heading2"/>
        <w:spacing w:before="260" w:after="100"/>
      </w:pPr>
      <w:r>
        <w:rPr>
          <w:rFonts w:ascii="Arial" w:cs="Arial" w:eastAsia="Arial" w:hAnsi="Arial"/>
          <w:b/>
          <w:bCs/>
          <w:color w:val="1A3A5C"/>
          <w:sz w:val="24"/>
          <w:szCs w:val="24"/>
        </w:rPr>
        <w:t xml:space="preserve">4.3 KL Divergences</w:t>
      </w:r>
    </w:p>
    <w:p>
      <w:pPr>
        <w:spacing w:before="60" w:after="100"/>
        <w:jc w:val="both"/>
      </w:pPr>
      <w:r>
        <w:rPr>
          <w:rFonts w:ascii="Times New Roman" w:cs="Times New Roman" w:eastAsia="Times New Roman" w:hAnsi="Times New Roman"/>
          <w:color w:val="333333"/>
          <w:sz w:val="20"/>
          <w:szCs w:val="20"/>
        </w:rPr>
        <w:t xml:space="preserve">The KL divergence between diagonal Gaussian class models with shared variance v₀ simplifies to D_KL(k||j) = (1/2)||μk - μj||_v₀², which is proportional to the squared FR distance. The five closest pairs by KL 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00"/>
      </w:tblGrid>
      <w:tr>
        <w:trPr>
          <w:tblHeader/>
        </w:trPr>
        <w:tc>
          <w:tcPr>
            <w:tcW w:type="dxa" w:w="32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Class Pair</w:t>
            </w:r>
          </w:p>
        </w:tc>
        <w:tc>
          <w:tcPr>
            <w:tcW w:type="dxa" w:w="29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KL Divergence</w:t>
            </w:r>
          </w:p>
        </w:tc>
        <w:tc>
          <w:tcPr>
            <w:tcW w:type="dxa" w:w="29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FR Distance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log_info ↔ log_warn</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32.05</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8.006</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log_error ↔ log_info</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35.65</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8.444</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net_normal ↔ log_warn</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40.67</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9.019</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log_info ↔ net_normal</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41.63</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9.125</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bin_malware ↔ bin_benign</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43.97</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9.377</w:t>
            </w:r>
          </w:p>
        </w:tc>
      </w:tr>
    </w:tbl>
    <w:p>
      <w:pPr>
        <w:spacing w:before="100" w:after="0"/>
      </w:pPr>
      <w:r>
        <w:rPr>
          <w:rFonts w:ascii="Times New Roman" w:cs="Times New Roman" w:eastAsia="Times New Roman" w:hAnsi="Times New Roman"/>
          <w:color w:val="333333"/>
          <w:sz w:val="20"/>
          <w:szCs w:val="20"/>
        </w:rPr>
        <w:t xml:space="preserve"/>
      </w:r>
    </w:p>
    <w:p>
      <w:pPr>
        <w:spacing w:before="60" w:after="100"/>
        <w:jc w:val="both"/>
      </w:pPr>
      <w:r>
        <w:rPr>
          <w:rFonts w:ascii="Times New Roman" w:cs="Times New Roman" w:eastAsia="Times New Roman" w:hAnsi="Times New Roman"/>
          <w:color w:val="333333"/>
          <w:sz w:val="20"/>
          <w:szCs w:val="20"/>
        </w:rPr>
        <w:t xml:space="preserve">These five pairs represent the decision boundary bottleneck. Even the closest pair (log_info/log_warn) has KL divergence 32 nats, which is substantial — this corresponds to a likelihood ratio of e³² ≈ 10¹³· between the two hypotheses for a point at the mean of either class.</w:t>
      </w:r>
    </w:p>
    <w:p>
      <w:pPr>
        <w:spacing w:before="120" w:after="0"/>
      </w:pPr>
      <w:r>
        <w:rPr>
          <w:rFonts w:ascii="Times New Roman" w:cs="Times New Roman" w:eastAsia="Times New Roman" w:hAnsi="Times New Roman"/>
          <w:color w:val="333333"/>
          <w:sz w:val="20"/>
          <w:szCs w:val="20"/>
        </w:rPr>
        <w:t xml:space="preserve"/>
      </w:r>
    </w:p>
    <w:p>
      <w:pPr>
        <w:pStyle w:val="Heading1"/>
        <w:spacing w:before="360" w:after="160"/>
      </w:pPr>
      <w:r>
        <w:rPr>
          <w:rFonts w:ascii="Arial" w:cs="Arial" w:eastAsia="Arial" w:hAnsi="Arial"/>
          <w:b/>
          <w:bCs/>
          <w:color w:val="1A3A5C"/>
          <w:sz w:val="28"/>
          <w:szCs w:val="28"/>
        </w:rPr>
        <w:t xml:space="preserve">5. Lie Algebra of Attraction Operators</w:t>
      </w:r>
    </w:p>
    <w:p>
      <w:pPr>
        <w:pStyle w:val="Heading2"/>
        <w:spacing w:before="260" w:after="100"/>
      </w:pPr>
      <w:r>
        <w:rPr>
          <w:rFonts w:ascii="Arial" w:cs="Arial" w:eastAsia="Arial" w:hAnsi="Arial"/>
          <w:b/>
          <w:bCs/>
          <w:color w:val="1A3A5C"/>
          <w:sz w:val="24"/>
          <w:szCs w:val="24"/>
        </w:rPr>
        <w:t xml:space="preserve">5.1 The Operator Algebra</w:t>
      </w:r>
    </w:p>
    <w:p>
      <w:pPr>
        <w:spacing w:before="60" w:after="100"/>
        <w:jc w:val="both"/>
      </w:pPr>
      <w:r>
        <w:rPr>
          <w:rFonts w:ascii="Times New Roman" w:cs="Times New Roman" w:eastAsia="Times New Roman" w:hAnsi="Times New Roman"/>
          <w:color w:val="333333"/>
          <w:sz w:val="20"/>
          <w:szCs w:val="20"/>
        </w:rPr>
        <w:t xml:space="preserve">The attraction operator for class k is a linear endomorphism of the latent space: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16" w:after="16"/>
            </w:pPr>
            <w:r>
              <w:rPr>
                <w:rFonts w:ascii="Courier New" w:cs="Courier New" w:eastAsia="Courier New" w:hAnsi="Courier New"/>
                <w:color w:val="A8D8EA"/>
                <w:sz w:val="17"/>
                <w:szCs w:val="17"/>
              </w:rPr>
              <w:t xml:space="preserve">A_k : h ↦ h + η(μk - h) = (1-η)h + ημk</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A8D8EA"/>
                <w:sz w:val="17"/>
                <w:szCs w:val="17"/>
              </w:rPr>
              <w:t xml:space="preserve">As a matrix: A_k = (1-η)I + η rank-1 perturbation</w:t>
            </w:r>
          </w:p>
        </w:tc>
      </w:tr>
    </w:tbl>
    <w:p>
      <w:pPr>
        <w:spacing w:before="60" w:after="100"/>
        <w:jc w:val="both"/>
      </w:pPr>
      <w:r>
        <w:rPr>
          <w:rFonts w:ascii="Times New Roman" w:cs="Times New Roman" w:eastAsia="Times New Roman" w:hAnsi="Times New Roman"/>
          <w:color w:val="333333"/>
          <w:sz w:val="20"/>
          <w:szCs w:val="20"/>
        </w:rPr>
        <w:t xml:space="preserve">The Lie bracket (commutator) of two attraction operators [A_k, A_j] = A_k ∘ A_j - A_j ∘ A_k measures the failure of commutativity. For rank-1 perturbations, the Frobenius norm of the bracket 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16" w:after="16"/>
            </w:pPr>
            <w:r>
              <w:rPr>
                <w:rFonts w:ascii="Courier New" w:cs="Courier New" w:eastAsia="Courier New" w:hAnsi="Courier New"/>
                <w:color w:val="A8D8EA"/>
                <w:sz w:val="17"/>
                <w:szCs w:val="17"/>
              </w:rPr>
              <w:t xml:space="preserve">||[A_k, A_j]||_F = η² · √2 · ||μk|| · ||μj|| · sinθ(k,j)</w:t>
            </w:r>
          </w:p>
        </w:tc>
      </w:tr>
    </w:tbl>
    <w:p>
      <w:pPr>
        <w:spacing w:before="60" w:after="100"/>
        <w:jc w:val="both"/>
      </w:pPr>
      <w:r>
        <w:rPr>
          <w:rFonts w:ascii="Times New Roman" w:cs="Times New Roman" w:eastAsia="Times New Roman" w:hAnsi="Times New Roman"/>
          <w:color w:val="333333"/>
          <w:sz w:val="20"/>
          <w:szCs w:val="20"/>
        </w:rPr>
        <w:t xml:space="preserve">where θ(k,j) is the angle between centroids in latent space. This is zero iff the centroids are collinear (parallel or antiparallel), and maximal when they are orthogonal.</w:t>
      </w:r>
    </w:p>
    <w:p>
      <w:pPr>
        <w:pStyle w:val="Heading2"/>
        <w:spacing w:before="260" w:after="100"/>
      </w:pPr>
      <w:r>
        <w:rPr>
          <w:rFonts w:ascii="Arial" w:cs="Arial" w:eastAsia="Arial" w:hAnsi="Arial"/>
          <w:b/>
          <w:bCs/>
          <w:color w:val="1A3A5C"/>
          <w:sz w:val="24"/>
          <w:szCs w:val="24"/>
        </w:rPr>
        <w:t xml:space="preserve">5.2 Non-Commutativity and the Closed Ideal</w:t>
      </w:r>
    </w:p>
    <w:p>
      <w:pPr>
        <w:spacing w:before="60" w:after="100"/>
        <w:jc w:val="both"/>
      </w:pPr>
      <w:r>
        <w:rPr>
          <w:rFonts w:ascii="Times New Roman" w:cs="Times New Roman" w:eastAsia="Times New Roman" w:hAnsi="Times New Roman"/>
          <w:color w:val="333333"/>
          <w:sz w:val="20"/>
          <w:szCs w:val="20"/>
        </w:rPr>
        <w:t xml:space="preserve">We computed the Lie bracket norms for all 45 class pairs: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0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Class Pair</w:t>
            </w:r>
          </w:p>
        </w:tc>
        <w:tc>
          <w:tcPr>
            <w:tcW w:type="dxa" w:w="25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||[A_k, A_j]||_F</w:t>
            </w:r>
          </w:p>
        </w:tc>
        <w:tc>
          <w:tcPr>
            <w:tcW w:type="dxa" w:w="35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Interpretation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bin_malware ↔ net_c2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0.077926</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Most non-commuting</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log_error ↔ net_c2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0.074178</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net_ddos ↔ net_c2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0.072253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net_c2 ↔ log_warn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0.072173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log_error ↔ bin_malware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0.068231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All pairs (mean)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0.054125</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Non-abelian algebra</w:t>
            </w:r>
          </w:p>
        </w:tc>
      </w:tr>
    </w:tbl>
    <w:p>
      <w:pPr>
        <w:spacing w:before="100" w:after="0"/>
      </w:pPr>
      <w:r>
        <w:rPr>
          <w:rFonts w:ascii="Times New Roman" w:cs="Times New Roman" w:eastAsia="Times New Roman" w:hAnsi="Times New Roman"/>
          <w:color w:val="333333"/>
          <w:sz w:val="20"/>
          <w:szCs w:val="20"/>
        </w:rPr>
        <w:t xml:space="preserve"/>
      </w:r>
    </w:p>
    <w:p>
      <w:pPr>
        <w:spacing w:before="60" w:after="100"/>
        <w:jc w:val="both"/>
      </w:pPr>
      <w:r>
        <w:rPr>
          <w:rFonts w:ascii="Times New Roman" w:cs="Times New Roman" w:eastAsia="Times New Roman" w:hAnsi="Times New Roman"/>
          <w:color w:val="333333"/>
          <w:sz w:val="20"/>
          <w:szCs w:val="20"/>
        </w:rPr>
        <w:t xml:space="preserve">The algebra is demonstrably non-abelian: the mean bracket norm 0.054 is well above zero. net_c2 appears in four of the five most non-commuting pairs, consistent with its position as the class with the longest centroid vector (largest ||μk||) — the bracket norm scales with centroid magnitudes.</w:t>
      </w:r>
    </w:p>
    <w:p>
      <w:pPr>
        <w:spacing w:before="60" w:after="100"/>
        <w:jc w:val="both"/>
      </w:pPr>
      <w:r>
        <w:rPr>
          <w:rFonts w:ascii="Times New Roman" w:cs="Times New Roman" w:eastAsia="Times New Roman" w:hAnsi="Times New Roman"/>
          <w:b/>
          <w:bCs/>
          <w:color w:val="333333"/>
          <w:sz w:val="20"/>
          <w:szCs w:val="20"/>
        </w:rPr>
        <w:t xml:space="preserve">The closed ideal result. </w:t>
      </w:r>
      <w:r>
        <w:rPr>
          <w:rFonts w:ascii="Times New Roman" w:cs="Times New Roman" w:eastAsia="Times New Roman" w:hAnsi="Times New Roman"/>
          <w:color w:val="333333"/>
          <w:sz w:val="20"/>
          <w:szCs w:val="20"/>
        </w:rPr>
        <w:t xml:space="preserve">We tested whether the Lie brackets {[A_k, A_j]} lie in the span of the centroid vectors {μk}. The closure residual — the component of the bracket not expressible as a linear combination of centroids — is zero (mean 0.0, max 0.0 to numerical precision). This means the bracket of any two attraction operators is itself in the centroid subspace. The attraction operator algebra forms a Lie ideal over the centroid vector space.</w:t>
      </w:r>
    </w:p>
    <w:p>
      <w:pPr>
        <w:spacing w:before="60" w:after="100"/>
        <w:jc w:val="both"/>
      </w:pPr>
      <w:r>
        <w:rPr>
          <w:rFonts w:ascii="Times New Roman" w:cs="Times New Roman" w:eastAsia="Times New Roman" w:hAnsi="Times New Roman"/>
          <w:color w:val="333333"/>
          <w:sz w:val="20"/>
          <w:szCs w:val="20"/>
        </w:rPr>
        <w:t xml:space="preserve">This is a non-trivial structural result. It means the algebra is closed under the Lie product: taking commutators of operators never generates operators that escape the span of the class models. The classifier's operator algebra is self-contained.</w:t>
      </w:r>
    </w:p>
    <w:p>
      <w:pPr>
        <w:pStyle w:val="Heading2"/>
        <w:spacing w:before="260" w:after="100"/>
      </w:pPr>
      <w:r>
        <w:rPr>
          <w:rFonts w:ascii="Arial" w:cs="Arial" w:eastAsia="Arial" w:hAnsi="Arial"/>
          <w:b/>
          <w:bCs/>
          <w:color w:val="1A3A5C"/>
          <w:sz w:val="24"/>
          <w:szCs w:val="24"/>
        </w:rPr>
        <w:t xml:space="preserve">5.3 Solvability</w:t>
      </w:r>
    </w:p>
    <w:p>
      <w:pPr>
        <w:spacing w:before="60" w:after="100"/>
        <w:jc w:val="both"/>
      </w:pPr>
      <w:r>
        <w:rPr>
          <w:rFonts w:ascii="Times New Roman" w:cs="Times New Roman" w:eastAsia="Times New Roman" w:hAnsi="Times New Roman"/>
          <w:color w:val="333333"/>
          <w:sz w:val="20"/>
          <w:szCs w:val="20"/>
        </w:rPr>
        <w:t xml:space="preserve">A Lie algebra is solvable if its derived series </w:t>
      </w:r>
      <w:r>
        <w:rPr>
          <w:rFonts w:ascii="Times New Roman" w:cs="Times New Roman" w:eastAsia="Times New Roman" w:hAnsi="Times New Roman"/>
          <w:i/>
          <w:iCs/>
          <w:color w:val="333333"/>
          <w:sz w:val="20"/>
          <w:szCs w:val="20"/>
        </w:rPr>
        <w:t xml:space="preserve">α ⊃ [α,α] ⊃ [[α,α],[α,α]] ⊃ ...</w:t>
      </w:r>
      <w:r>
        <w:rPr>
          <w:rFonts w:ascii="Times New Roman" w:cs="Times New Roman" w:eastAsia="Times New Roman" w:hAnsi="Times New Roman"/>
          <w:color w:val="333333"/>
          <w:sz w:val="20"/>
          <w:szCs w:val="20"/>
        </w:rPr>
        <w:t xml:space="preserve"> terminates at zero [17]. The derived series of the CyphaDIF attraction algebra terminates after one step (since the brackets lie in the centroid subspace, which is abelian — centroids are just vectors). The algebra is therefore solvable, consistent with the Galois-theoretic interpretation: the classification problem is resolvable by a finite composition of elementary operators.</w:t>
      </w:r>
    </w:p>
    <w:p>
      <w:pPr>
        <w:spacing w:before="120" w:after="0"/>
      </w:pPr>
      <w:r>
        <w:rPr>
          <w:rFonts w:ascii="Times New Roman" w:cs="Times New Roman" w:eastAsia="Times New Roman" w:hAnsi="Times New Roman"/>
          <w:color w:val="333333"/>
          <w:sz w:val="20"/>
          <w:szCs w:val="20"/>
        </w:rPr>
        <w:t xml:space="preserve"/>
      </w:r>
    </w:p>
    <w:p>
      <w:pPr>
        <w:pStyle w:val="Heading1"/>
        <w:spacing w:before="360" w:after="160"/>
      </w:pPr>
      <w:r>
        <w:rPr>
          <w:rFonts w:ascii="Arial" w:cs="Arial" w:eastAsia="Arial" w:hAnsi="Arial"/>
          <w:b/>
          <w:bCs/>
          <w:color w:val="1A3A5C"/>
          <w:sz w:val="28"/>
          <w:szCs w:val="28"/>
        </w:rPr>
        <w:t xml:space="preserve">6. Spectral Theory of the Encoder</w:t>
      </w:r>
    </w:p>
    <w:p>
      <w:pPr>
        <w:pStyle w:val="Heading2"/>
        <w:spacing w:before="260" w:after="100"/>
      </w:pPr>
      <w:r>
        <w:rPr>
          <w:rFonts w:ascii="Arial" w:cs="Arial" w:eastAsia="Arial" w:hAnsi="Arial"/>
          <w:b/>
          <w:bCs/>
          <w:color w:val="1A3A5C"/>
          <w:sz w:val="24"/>
          <w:szCs w:val="24"/>
        </w:rPr>
        <w:t xml:space="preserve">6.1 Singular Value Structure</w:t>
      </w:r>
    </w:p>
    <w:p>
      <w:pPr>
        <w:spacing w:before="60" w:after="100"/>
        <w:jc w:val="both"/>
      </w:pPr>
      <w:r>
        <w:rPr>
          <w:rFonts w:ascii="Times New Roman" w:cs="Times New Roman" w:eastAsia="Times New Roman" w:hAnsi="Times New Roman"/>
          <w:color w:val="333333"/>
          <w:sz w:val="20"/>
          <w:szCs w:val="20"/>
        </w:rPr>
        <w:t xml:space="preserve">The encoder W ∈ ℝ¹²⁸×¹²⁸ is initialised as a random orthogonal matrix and updated via contrastive Fisher-Rao gradients. After training: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00"/>
      </w:tblGrid>
      <w:tr>
        <w:trPr>
          <w:tblHeader/>
        </w:trPr>
        <w:tc>
          <w:tcPr>
            <w:tcW w:type="dxa" w:w="32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Property</w:t>
            </w:r>
          </w:p>
        </w:tc>
        <w:tc>
          <w:tcPr>
            <w:tcW w:type="dxa" w:w="20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Value</w:t>
            </w:r>
          </w:p>
        </w:tc>
        <w:tc>
          <w:tcPr>
            <w:tcW w:type="dxa" w:w="38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Implication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σ1 (max singular value)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2.035</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Spectral norm; controlled by normalisation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σₘᵉₙ (min singular value)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0.176</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Non-degenerate; all directions represented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Condition number κ(W)</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11.59</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Mild ill-conditioning from contrastive updates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Effective rank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123.15/128</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Near-full rank; W uses almost all dimensions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Spectral gap σ1/σ2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1.5011</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One dominant direction learned from training</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KS vs Gaussian (D)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0.367</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Structured (non-random) singular values</w:t>
            </w:r>
          </w:p>
        </w:tc>
      </w:tr>
    </w:tbl>
    <w:p>
      <w:pPr>
        <w:spacing w:before="100" w:after="0"/>
      </w:pPr>
      <w:r>
        <w:rPr>
          <w:rFonts w:ascii="Times New Roman" w:cs="Times New Roman" w:eastAsia="Times New Roman" w:hAnsi="Times New Roman"/>
          <w:color w:val="333333"/>
          <w:sz w:val="20"/>
          <w:szCs w:val="20"/>
        </w:rPr>
        <w:t xml:space="preserve"/>
      </w:r>
    </w:p>
    <w:p>
      <w:pPr>
        <w:spacing w:before="60" w:after="100"/>
        <w:jc w:val="both"/>
      </w:pPr>
      <w:r>
        <w:rPr>
          <w:rFonts w:ascii="Times New Roman" w:cs="Times New Roman" w:eastAsia="Times New Roman" w:hAnsi="Times New Roman"/>
          <w:color w:val="333333"/>
          <w:sz w:val="20"/>
          <w:szCs w:val="20"/>
        </w:rPr>
        <w:t xml:space="preserve">The effective rank 123/128 means the encoder has learned a near-full-rank map, using essentially all 128 latent dimensions. This is expected given the structural parser generates genuinely 128-dimensional features: all blocks contribute signal. The condition number 11.59 reflects mild anisotropy introduced by the contrastive updates — directions where misclassifications frequently occurred have been amplified.</w:t>
      </w:r>
    </w:p>
    <w:p>
      <w:pPr>
        <w:pStyle w:val="Heading2"/>
        <w:spacing w:before="260" w:after="100"/>
      </w:pPr>
      <w:r>
        <w:rPr>
          <w:rFonts w:ascii="Arial" w:cs="Arial" w:eastAsia="Arial" w:hAnsi="Arial"/>
          <w:b/>
          <w:bCs/>
          <w:color w:val="1A3A5C"/>
          <w:sz w:val="24"/>
          <w:szCs w:val="24"/>
        </w:rPr>
        <w:t xml:space="preserve">6.2 Departure from Random Matrix Theory</w:t>
      </w:r>
    </w:p>
    <w:p>
      <w:pPr>
        <w:spacing w:before="60" w:after="100"/>
        <w:jc w:val="both"/>
      </w:pPr>
      <w:r>
        <w:rPr>
          <w:rFonts w:ascii="Times New Roman" w:cs="Times New Roman" w:eastAsia="Times New Roman" w:hAnsi="Times New Roman"/>
          <w:color w:val="333333"/>
          <w:sz w:val="20"/>
          <w:szCs w:val="20"/>
        </w:rPr>
        <w:t xml:space="preserve">A random Gaussian matrix of dimension 128×128 would have singular values following the Marchenko-Pastur distribution [18], which approximates a semicircle for square matrices. The KS statistic D=0.367 against a Gaussian null (and similar against the semicircle) confirms that W is not random — it has structure imposed by the contrastive learning process.</w:t>
      </w:r>
    </w:p>
    <w:p>
      <w:pPr>
        <w:spacing w:before="60" w:after="100"/>
        <w:jc w:val="both"/>
      </w:pPr>
      <w:r>
        <w:rPr>
          <w:rFonts w:ascii="Times New Roman" w:cs="Times New Roman" w:eastAsia="Times New Roman" w:hAnsi="Times New Roman"/>
          <w:color w:val="333333"/>
          <w:sz w:val="20"/>
          <w:szCs w:val="20"/>
        </w:rPr>
        <w:t xml:space="preserve">However, the class separation variance is distributed uniformly across singular value ranks: the top 8 singular dimensions capture 0.098 of the separation variance, top 64 capture 0.015, and all 128 together capture 0.008 per dimension. This uniform distribution means the encoder has spread class-discriminative information across its full spectrum rather than concentrating it in a few singular directions. This is a property of the contrastive update rule — it targets whichever direction reduces the Fisher-Rao residual most, which rotates across the singular value decomposition as the class configuration evolves.</w:t>
      </w:r>
    </w:p>
    <w:p>
      <w:pPr>
        <w:spacing w:before="120" w:after="0"/>
      </w:pPr>
      <w:r>
        <w:rPr>
          <w:rFonts w:ascii="Times New Roman" w:cs="Times New Roman" w:eastAsia="Times New Roman" w:hAnsi="Times New Roman"/>
          <w:color w:val="333333"/>
          <w:sz w:val="20"/>
          <w:szCs w:val="20"/>
        </w:rPr>
        <w:t xml:space="preserve"/>
      </w:r>
    </w:p>
    <w:p>
      <w:pPr>
        <w:pStyle w:val="Heading1"/>
        <w:spacing w:before="360" w:after="160"/>
      </w:pPr>
      <w:r>
        <w:rPr>
          <w:rFonts w:ascii="Arial" w:cs="Arial" w:eastAsia="Arial" w:hAnsi="Arial"/>
          <w:b/>
          <w:bCs/>
          <w:color w:val="1A3A5C"/>
          <w:sz w:val="28"/>
          <w:szCs w:val="28"/>
        </w:rPr>
        <w:t xml:space="preserve">7. Representation Theory and Semisimplicity</w:t>
      </w:r>
    </w:p>
    <w:p>
      <w:pPr>
        <w:pStyle w:val="Heading2"/>
        <w:spacing w:before="260" w:after="100"/>
      </w:pPr>
      <w:r>
        <w:rPr>
          <w:rFonts w:ascii="Arial" w:cs="Arial" w:eastAsia="Arial" w:hAnsi="Arial"/>
          <w:b/>
          <w:bCs/>
          <w:color w:val="1A3A5C"/>
          <w:sz w:val="24"/>
          <w:szCs w:val="24"/>
        </w:rPr>
        <w:t xml:space="preserve">7.1 Orbit Persistence</w:t>
      </w:r>
    </w:p>
    <w:p>
      <w:pPr>
        <w:spacing w:before="60" w:after="100"/>
        <w:jc w:val="both"/>
      </w:pPr>
      <w:r>
        <w:rPr>
          <w:rFonts w:ascii="Times New Roman" w:cs="Times New Roman" w:eastAsia="Times New Roman" w:hAnsi="Times New Roman"/>
          <w:color w:val="333333"/>
          <w:sz w:val="20"/>
          <w:szCs w:val="20"/>
        </w:rPr>
        <w:t xml:space="preserve">The symmetry group G of the centroid configuration consists of permutations of class labels that preserve the pairwise FR distance matrix. At exact tolerances (ε &lt; 1.0), G is trivial: |G|=1, meaning all 10 classes are in distinct orbits. This is the expected result for a well-trained classifier — any non-trivial automorphism would mean two classes are geometrically indistinguishable, which would manifest as confusion.</w:t>
      </w:r>
    </w:p>
    <w:p>
      <w:pPr>
        <w:spacing w:before="60" w:after="100"/>
        <w:jc w:val="both"/>
      </w:pPr>
      <w:r>
        <w:rPr>
          <w:rFonts w:ascii="Times New Roman" w:cs="Times New Roman" w:eastAsia="Times New Roman" w:hAnsi="Times New Roman"/>
          <w:color w:val="333333"/>
          <w:sz w:val="20"/>
          <w:szCs w:val="20"/>
        </w:rPr>
        <w:t xml:space="preserve">The orbit persistence diagram reveals the scale at which classes begin to merge: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Tolerance ε</w:t>
            </w:r>
          </w:p>
        </w:tc>
        <w:tc>
          <w:tcPr>
            <w:tcW w:type="dxa" w:w="25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Orbits</w:t>
            </w:r>
          </w:p>
        </w:tc>
        <w:tc>
          <w:tcPr>
            <w:tcW w:type="dxa" w:w="40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Classes merging</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ε &lt; 1.0</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10</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None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ε = 2.0</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6</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4 merges (FR-nearest pairs)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ε = 5.0</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All equivalent</w:t>
            </w:r>
          </w:p>
        </w:tc>
      </w:tr>
    </w:tbl>
    <w:p>
      <w:pPr>
        <w:spacing w:before="100" w:after="0"/>
      </w:pPr>
      <w:r>
        <w:rPr>
          <w:rFonts w:ascii="Times New Roman" w:cs="Times New Roman" w:eastAsia="Times New Roman" w:hAnsi="Times New Roman"/>
          <w:color w:val="333333"/>
          <w:sz w:val="20"/>
          <w:szCs w:val="20"/>
        </w:rPr>
        <w:t xml:space="preserve"/>
      </w:r>
    </w:p>
    <w:p>
      <w:pPr>
        <w:spacing w:before="60" w:after="100"/>
        <w:jc w:val="both"/>
      </w:pPr>
      <w:r>
        <w:rPr>
          <w:rFonts w:ascii="Times New Roman" w:cs="Times New Roman" w:eastAsia="Times New Roman" w:hAnsi="Times New Roman"/>
          <w:color w:val="333333"/>
          <w:sz w:val="20"/>
          <w:szCs w:val="20"/>
        </w:rPr>
        <w:t xml:space="preserve">The merge at ε=2.0 corresponds to a FR distance tolerance of 2.0 nats, which is 14% of the mean FR distance of 14.0. The fact that 4 merges occur simultaneously at this scale (rather than sequentially) indicates the four closest class pairs have nearly identical FR distances — a sign of regular centroid geometry.</w:t>
      </w:r>
    </w:p>
    <w:p>
      <w:pPr>
        <w:pStyle w:val="Heading2"/>
        <w:spacing w:before="260" w:after="100"/>
      </w:pPr>
      <w:r>
        <w:rPr>
          <w:rFonts w:ascii="Arial" w:cs="Arial" w:eastAsia="Arial" w:hAnsi="Arial"/>
          <w:b/>
          <w:bCs/>
          <w:color w:val="1A3A5C"/>
          <w:sz w:val="24"/>
          <w:szCs w:val="24"/>
        </w:rPr>
        <w:t xml:space="preserve">7.2 Wedderburn Semisimplicity</w:t>
      </w:r>
    </w:p>
    <w:p>
      <w:pPr>
        <w:spacing w:before="60" w:after="100"/>
        <w:jc w:val="both"/>
      </w:pPr>
      <w:r>
        <w:rPr>
          <w:rFonts w:ascii="Times New Roman" w:cs="Times New Roman" w:eastAsia="Times New Roman" w:hAnsi="Times New Roman"/>
          <w:color w:val="333333"/>
          <w:sz w:val="20"/>
          <w:szCs w:val="20"/>
        </w:rPr>
        <w:t xml:space="preserve">The Wedderburn-Artin theorem [19] characterises semisimple algebras as direct products of matrix algebras. A sufficient condition is that the Gram matrix of the generators has full rank. The centroid Gram matrix G = </w:t>
      </w:r>
      <w:r>
        <w:rPr>
          <w:rFonts w:ascii="Courier New" w:cs="Courier New" w:eastAsia="Courier New" w:hAnsi="Courier New"/>
          <w:color w:val="1A1A1A"/>
          <w:sz w:val="18"/>
          <w:szCs w:val="18"/>
        </w:rPr>
        <w:t xml:space="preserve">mus @ mus.T</w:t>
      </w:r>
      <w:r>
        <w:rPr>
          <w:rFonts w:ascii="Times New Roman" w:cs="Times New Roman" w:eastAsia="Times New Roman" w:hAnsi="Times New Roman"/>
          <w:color w:val="333333"/>
          <w:sz w:val="20"/>
          <w:szCs w:val="20"/>
        </w:rPr>
        <w:t xml:space="preserve"> ∈ ℝ¹⁰×¹⁰ has rank 10 (full), with eigenvalues: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16" w:after="16"/>
            </w:pPr>
            <w:r>
              <w:rPr>
                <w:rFonts w:ascii="Courier New" w:cs="Courier New" w:eastAsia="Courier New" w:hAnsi="Courier New"/>
                <w:color w:val="A8D8EA"/>
                <w:sz w:val="17"/>
                <w:szCs w:val="17"/>
              </w:rPr>
              <w:t xml:space="preserve">[λ_1, ..., λ_10] = [0.37, 0.40, 0.50, 0.68, 1.05, 1.54, 2.65, 3.40, 4.58, 104.93]</w:t>
            </w:r>
          </w:p>
        </w:tc>
      </w:tr>
    </w:tbl>
    <w:p>
      <w:pPr>
        <w:spacing w:before="60" w:after="100"/>
        <w:jc w:val="both"/>
      </w:pPr>
      <w:r>
        <w:rPr>
          <w:rFonts w:ascii="Times New Roman" w:cs="Times New Roman" w:eastAsia="Times New Roman" w:hAnsi="Times New Roman"/>
          <w:color w:val="333333"/>
          <w:sz w:val="20"/>
          <w:szCs w:val="20"/>
        </w:rPr>
        <w:t xml:space="preserve">All eigenvalues are positive, confirming no centroid is a linear combination of others (full rank) and the algebra is semisimple. The dominant eigenvalue 104.93 corresponds to the direction of the mean centroid, which is the shared world prior contribution. The remaining 9 eigenvalues represent the class-discriminative directions in the quotient space.</w:t>
      </w:r>
    </w:p>
    <w:p>
      <w:pPr>
        <w:spacing w:before="120" w:after="0"/>
      </w:pPr>
      <w:r>
        <w:rPr>
          <w:rFonts w:ascii="Times New Roman" w:cs="Times New Roman" w:eastAsia="Times New Roman" w:hAnsi="Times New Roman"/>
          <w:color w:val="333333"/>
          <w:sz w:val="20"/>
          <w:szCs w:val="20"/>
        </w:rPr>
        <w:t xml:space="preserve"/>
      </w:r>
    </w:p>
    <w:p>
      <w:pPr>
        <w:pStyle w:val="Heading1"/>
        <w:spacing w:before="360" w:after="160"/>
      </w:pPr>
      <w:r>
        <w:rPr>
          <w:rFonts w:ascii="Arial" w:cs="Arial" w:eastAsia="Arial" w:hAnsi="Arial"/>
          <w:b/>
          <w:bCs/>
          <w:color w:val="1A3A5C"/>
          <w:sz w:val="28"/>
          <w:szCs w:val="28"/>
        </w:rPr>
        <w:t xml:space="preserve">8. Cramér-Rao Efficiency and MDL Equilibrium</w:t>
      </w:r>
    </w:p>
    <w:p>
      <w:pPr>
        <w:pStyle w:val="Heading2"/>
        <w:spacing w:before="260" w:after="100"/>
      </w:pPr>
      <w:r>
        <w:rPr>
          <w:rFonts w:ascii="Arial" w:cs="Arial" w:eastAsia="Arial" w:hAnsi="Arial"/>
          <w:b/>
          <w:bCs/>
          <w:color w:val="1A3A5C"/>
          <w:sz w:val="24"/>
          <w:szCs w:val="24"/>
        </w:rPr>
        <w:t xml:space="preserve">8.1 The Apparent Violation</w:t>
      </w:r>
    </w:p>
    <w:p>
      <w:pPr>
        <w:spacing w:before="60" w:after="100"/>
        <w:jc w:val="both"/>
      </w:pPr>
      <w:r>
        <w:rPr>
          <w:rFonts w:ascii="Times New Roman" w:cs="Times New Roman" w:eastAsia="Times New Roman" w:hAnsi="Times New Roman"/>
          <w:color w:val="333333"/>
          <w:sz w:val="20"/>
          <w:szCs w:val="20"/>
        </w:rPr>
        <w:t xml:space="preserve">The Cramér-Rao lower bound [20,21] for an unbiased estimator of the mean of N(μk, v₀) with n observations is Var(μ̂) ≥ v₀/n. We measured the ratio of the actual centroid displacement ||Δμ_k|| to the CR minimum prediction √(mean(v₀)/n_k):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800"/>
        <w:gridCol w:w="180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Class</w:t>
            </w:r>
          </w:p>
        </w:tc>
        <w:tc>
          <w:tcPr>
            <w:tcW w:type="dxa" w:w="16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n_obs</w:t>
            </w:r>
          </w:p>
        </w:tc>
        <w:tc>
          <w:tcPr>
            <w:tcW w:type="dxa" w:w="16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||Δμ||</w:t>
            </w:r>
          </w:p>
        </w:tc>
        <w:tc>
          <w:tcPr>
            <w:tcW w:type="dxa" w:w="18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SNR (σ)</w:t>
            </w:r>
          </w:p>
        </w:tc>
        <w:tc>
          <w:tcPr>
            <w:tcW w:type="dxa" w:w="18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CR Ratio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net_c2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664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1.697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12.79σ</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29.1×</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bin_malware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654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1.631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12.29σ</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27.8×</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net_scan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695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1.573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11.85σ</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27.6×</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net_ddos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700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1.253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9.44σ</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22.1×</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bin_benign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694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1.212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9.13σ</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21.3×</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Mean (all)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~660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1.244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9.4σ</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21.4×</w:t>
            </w:r>
          </w:p>
        </w:tc>
      </w:tr>
    </w:tbl>
    <w:p>
      <w:pPr>
        <w:spacing w:before="100" w:after="0"/>
      </w:pPr>
      <w:r>
        <w:rPr>
          <w:rFonts w:ascii="Times New Roman" w:cs="Times New Roman" w:eastAsia="Times New Roman" w:hAnsi="Times New Roman"/>
          <w:color w:val="333333"/>
          <w:sz w:val="20"/>
          <w:szCs w:val="20"/>
        </w:rPr>
        <w:t xml:space="preserve"/>
      </w:r>
    </w:p>
    <w:p>
      <w:pPr>
        <w:spacing w:before="60" w:after="100"/>
        <w:jc w:val="both"/>
      </w:pPr>
      <w:r>
        <w:rPr>
          <w:rFonts w:ascii="Times New Roman" w:cs="Times New Roman" w:eastAsia="Times New Roman" w:hAnsi="Times New Roman"/>
          <w:color w:val="333333"/>
          <w:sz w:val="20"/>
          <w:szCs w:val="20"/>
        </w:rPr>
        <w:t xml:space="preserve">The mean ratio 21.4× appears to be a massive CR violation. It is not.</w:t>
      </w:r>
    </w:p>
    <w:p>
      <w:pPr>
        <w:pStyle w:val="Heading2"/>
        <w:spacing w:before="260" w:after="100"/>
      </w:pPr>
      <w:r>
        <w:rPr>
          <w:rFonts w:ascii="Arial" w:cs="Arial" w:eastAsia="Arial" w:hAnsi="Arial"/>
          <w:b/>
          <w:bCs/>
          <w:color w:val="1A3A5C"/>
          <w:sz w:val="24"/>
          <w:szCs w:val="24"/>
        </w:rPr>
        <w:t xml:space="preserve">8.2 Resolution: Biased Estimators and MDL Equilibrium</w:t>
      </w:r>
    </w:p>
    <w:p>
      <w:pPr>
        <w:spacing w:before="60" w:after="100"/>
        <w:jc w:val="both"/>
      </w:pPr>
      <w:r>
        <w:rPr>
          <w:rFonts w:ascii="Times New Roman" w:cs="Times New Roman" w:eastAsia="Times New Roman" w:hAnsi="Times New Roman"/>
          <w:color w:val="333333"/>
          <w:sz w:val="20"/>
          <w:szCs w:val="20"/>
        </w:rPr>
        <w:t xml:space="preserve">The CR bound applies to unbiased estimators. CyphaDIF does not produce an unbiased estimator of μk — the MDL decay term Δμ *= (1-λ) introduces a systematic shrinkage bias toward the world prior. Biased estimators can and do exceed the CR bound [20].</w:t>
      </w:r>
    </w:p>
    <w:p>
      <w:pPr>
        <w:spacing w:before="60" w:after="100"/>
        <w:jc w:val="both"/>
      </w:pPr>
      <w:r>
        <w:rPr>
          <w:rFonts w:ascii="Times New Roman" w:cs="Times New Roman" w:eastAsia="Times New Roman" w:hAnsi="Times New Roman"/>
          <w:color w:val="333333"/>
          <w:sz w:val="20"/>
          <w:szCs w:val="20"/>
        </w:rPr>
        <w:t xml:space="preserve">At equilibrium, attract and MDL decay balance: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16" w:after="16"/>
            </w:pPr>
            <w:r>
              <w:rPr>
                <w:rFonts w:ascii="Courier New" w:cs="Courier New" w:eastAsia="Courier New" w:hAnsi="Courier New"/>
                <w:color w:val="A8D8EA"/>
                <w:sz w:val="17"/>
                <w:szCs w:val="17"/>
              </w:rPr>
              <w:t xml:space="preserve">η · (h - μk) = λ · Δμk     (fixed point of the update equations)</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A8D8EA"/>
                <w:sz w:val="17"/>
                <w:szCs w:val="17"/>
              </w:rPr>
              <w:t xml:space="preserve">δμk* = [η/(η + λ)] · (h - μ₀)     (equilibrium displacement)</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A8D8EA"/>
                <w:sz w:val="17"/>
                <w:szCs w:val="17"/>
              </w:rPr>
              <w:t xml:space="preserve">= [0.08 / (0.08 + 0.002)] · (h - μ₀)  =  0.9756 · (h - μ₀)</w:t>
            </w:r>
          </w:p>
        </w:tc>
      </w:tr>
    </w:tbl>
    <w:p>
      <w:pPr>
        <w:spacing w:before="60" w:after="100"/>
        <w:jc w:val="both"/>
      </w:pPr>
      <w:r>
        <w:rPr>
          <w:rFonts w:ascii="Times New Roman" w:cs="Times New Roman" w:eastAsia="Times New Roman" w:hAnsi="Times New Roman"/>
          <w:color w:val="333333"/>
          <w:sz w:val="20"/>
          <w:szCs w:val="20"/>
        </w:rPr>
        <w:t xml:space="preserve">The equilibrium ||Δμ*|| is determined by the signal amplitude ||h - μ₀||, not by the number of observations. The SNR = ||Δμ|| / √mean(v₀) = 9.4σ is the correct measure of class separation quality. A SNR of 9.4σ means the class centroid is 9.4 standard deviations above the world prior mean — this is the source of the 1.0000 macro accuracy.</w:t>
      </w:r>
    </w:p>
    <w:p>
      <w:pPr>
        <w:spacing w:before="60" w:after="100"/>
        <w:jc w:val="both"/>
      </w:pPr>
      <w:r>
        <w:rPr>
          <w:rFonts w:ascii="Times New Roman" w:cs="Times New Roman" w:eastAsia="Times New Roman" w:hAnsi="Times New Roman"/>
          <w:color w:val="333333"/>
          <w:sz w:val="20"/>
          <w:szCs w:val="20"/>
        </w:rPr>
        <w:t xml:space="preserve">The theoretical equilibrium ||Δμ||_eq = (η/λ) √(d·v₀) = 40 · 1.50 = 60.05 is far above the observed 1.24. This large discrepancy is explained by the repulsion term (which compresses centroids away from each other, not just toward h) and the world prior v₀ itself: v₀ is learned from the mixed-class distribution, so its variance is much larger than within-class variance.</w:t>
      </w:r>
    </w:p>
    <w:p>
      <w:pPr>
        <w:spacing w:before="120" w:after="0"/>
      </w:pPr>
      <w:r>
        <w:rPr>
          <w:rFonts w:ascii="Times New Roman" w:cs="Times New Roman" w:eastAsia="Times New Roman" w:hAnsi="Times New Roman"/>
          <w:color w:val="333333"/>
          <w:sz w:val="20"/>
          <w:szCs w:val="20"/>
        </w:rPr>
        <w:t xml:space="preserve"/>
      </w:r>
    </w:p>
    <w:p>
      <w:pPr>
        <w:pStyle w:val="Heading1"/>
        <w:spacing w:before="360" w:after="160"/>
      </w:pPr>
      <w:r>
        <w:rPr>
          <w:rFonts w:ascii="Arial" w:cs="Arial" w:eastAsia="Arial" w:hAnsi="Arial"/>
          <w:b/>
          <w:bCs/>
          <w:color w:val="1A3A5C"/>
          <w:sz w:val="28"/>
          <w:szCs w:val="28"/>
        </w:rPr>
        <w:t xml:space="preserve">9. Diffusion Geometry of the Class Manifold</w:t>
      </w:r>
    </w:p>
    <w:p>
      <w:pPr>
        <w:spacing w:before="60" w:after="100"/>
        <w:jc w:val="both"/>
      </w:pPr>
      <w:r>
        <w:rPr>
          <w:rFonts w:ascii="Times New Roman" w:cs="Times New Roman" w:eastAsia="Times New Roman" w:hAnsi="Times New Roman"/>
          <w:color w:val="333333"/>
          <w:sz w:val="20"/>
          <w:szCs w:val="20"/>
        </w:rPr>
        <w:t xml:space="preserve">The heat kernel on the centroid configuration provides a non-Euclidean similarity that respects the manifold structure [14]. Let L = D - A be the graph Laplacian where A_{ij} = exp(-d_FR(i,j)² / 2σ²) with σ = median FR distance = 13.8. The heat kernel at time t 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16" w:after="16"/>
            </w:pPr>
            <w:r>
              <w:rPr>
                <w:rFonts w:ascii="Courier New" w:cs="Courier New" w:eastAsia="Courier New" w:hAnsi="Courier New"/>
                <w:color w:val="A8D8EA"/>
                <w:sz w:val="17"/>
                <w:szCs w:val="17"/>
              </w:rPr>
              <w:t xml:space="preserve">K_t = exp(-tL) = Φ exp(-tΛ) Φᵀ     (Φ: eigenvectors, Λ: eigenvalues)</w:t>
            </w:r>
          </w:p>
        </w:tc>
      </w:tr>
    </w:tbl>
    <w:p>
      <w:pPr>
        <w:spacing w:before="60" w:after="100"/>
        <w:jc w:val="both"/>
      </w:pPr>
      <w:r>
        <w:rPr>
          <w:rFonts w:ascii="Times New Roman" w:cs="Times New Roman" w:eastAsia="Times New Roman" w:hAnsi="Times New Roman"/>
          <w:color w:val="333333"/>
          <w:sz w:val="20"/>
          <w:szCs w:val="20"/>
        </w:rPr>
        <w:t xml:space="preserve">The Laplacian eigenvalues are [0, 5.40, 5.47, 5.72, 6.34, 6.39, 6.64, 6.89, 7.17, 7.27]. The Fiedler value (algebraic connectivity) λ₂ = 5.40 is large, indicating high connectivity of the centroid graph — all classes are well-connected by the Gaussian kernel at the median FR scale.</w:t>
      </w:r>
    </w:p>
    <w:p>
      <w:pPr>
        <w:spacing w:before="60" w:after="100"/>
        <w:jc w:val="both"/>
      </w:pPr>
      <w:r>
        <w:rPr>
          <w:rFonts w:ascii="Times New Roman" w:cs="Times New Roman" w:eastAsia="Times New Roman" w:hAnsi="Times New Roman"/>
          <w:color w:val="333333"/>
          <w:sz w:val="20"/>
          <w:szCs w:val="20"/>
        </w:rPr>
        <w:t xml:space="preserve">The heat kernel K_{t=0.1} shows strong diagonal dominance (self-similarity 0.86-1.00) with very small off-diagonal entries (&lt; 0.04), confirming that diffusion spreads slowly across class boundaries. The correlation between diffusion distance and FR distance is r = 0.882, establishing that the diffusion geometry approximates the Fisher-Rao geometry. This validates the information-geometric interpretation: the structure the heat kernel sees is the structure the classifier uses.</w:t>
      </w:r>
    </w:p>
    <w:p>
      <w:pPr>
        <w:spacing w:before="120" w:after="0"/>
      </w:pPr>
      <w:r>
        <w:rPr>
          <w:rFonts w:ascii="Times New Roman" w:cs="Times New Roman" w:eastAsia="Times New Roman" w:hAnsi="Times New Roman"/>
          <w:color w:val="333333"/>
          <w:sz w:val="20"/>
          <w:szCs w:val="20"/>
        </w:rPr>
        <w:t xml:space="preserve"/>
      </w:r>
    </w:p>
    <w:p>
      <w:pPr>
        <w:pStyle w:val="Heading1"/>
        <w:spacing w:before="360" w:after="160"/>
      </w:pPr>
      <w:r>
        <w:rPr>
          <w:rFonts w:ascii="Arial" w:cs="Arial" w:eastAsia="Arial" w:hAnsi="Arial"/>
          <w:b/>
          <w:bCs/>
          <w:color w:val="1A3A5C"/>
          <w:sz w:val="28"/>
          <w:szCs w:val="28"/>
        </w:rPr>
        <w:t xml:space="preserve">10. Ergodic Theory of the Temporal Field</w:t>
      </w:r>
    </w:p>
    <w:p>
      <w:pPr>
        <w:spacing w:before="60" w:after="100"/>
        <w:jc w:val="both"/>
      </w:pPr>
      <w:r>
        <w:rPr>
          <w:rFonts w:ascii="Times New Roman" w:cs="Times New Roman" w:eastAsia="Times New Roman" w:hAnsi="Times New Roman"/>
          <w:color w:val="333333"/>
          <w:sz w:val="20"/>
          <w:szCs w:val="20"/>
        </w:rPr>
        <w:t xml:space="preserve">The NIGField evolves as h_{t+1} = A_{eff} h_t where A_{eff} = diag(a) + W_T ∈ ℝ¹²⁸×¹²⁸. This is a linear dynamical system whose stability and mixing are determined by the spectral radius ρ(A_{eff}).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00"/>
      </w:tblGrid>
      <w:tr>
        <w:trPr>
          <w:tblHeader/>
        </w:trPr>
        <w:tc>
          <w:tcPr>
            <w:tcW w:type="dxa" w:w="32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Property</w:t>
            </w:r>
          </w:p>
        </w:tc>
        <w:tc>
          <w:tcPr>
            <w:tcW w:type="dxa" w:w="20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Value</w:t>
            </w:r>
          </w:p>
        </w:tc>
        <w:tc>
          <w:tcPr>
            <w:tcW w:type="dxa" w:w="38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Implication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Spectral radius ρ(A_{eff})</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0.9763</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ρ &lt; 1: system is stable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λ₂ (second eigenvalue)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0.9763</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Equal to ρ (uniform slow modes)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Mixing time τ = -1/log|λ₂|</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41.6 steps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Field forgets initial conditions in ~42 observations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Lyapunov exponent log(ρ)</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-0.0240</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Negative: perturbations decay exponentially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Timescale 0.30 (fast)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32 dims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Quarter of field is fast-decaying</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Timescale 0.95 (slow)</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32 dims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Quarter of field is long-memory</w:t>
            </w:r>
          </w:p>
        </w:tc>
      </w:tr>
    </w:tbl>
    <w:p>
      <w:pPr>
        <w:spacing w:before="100" w:after="0"/>
      </w:pPr>
      <w:r>
        <w:rPr>
          <w:rFonts w:ascii="Times New Roman" w:cs="Times New Roman" w:eastAsia="Times New Roman" w:hAnsi="Times New Roman"/>
          <w:color w:val="333333"/>
          <w:sz w:val="20"/>
          <w:szCs w:val="20"/>
        </w:rPr>
        <w:t xml:space="preserve"/>
      </w:r>
    </w:p>
    <w:p>
      <w:pPr>
        <w:spacing w:before="60" w:after="100"/>
        <w:jc w:val="both"/>
      </w:pPr>
      <w:r>
        <w:rPr>
          <w:rFonts w:ascii="Times New Roman" w:cs="Times New Roman" w:eastAsia="Times New Roman" w:hAnsi="Times New Roman"/>
          <w:color w:val="333333"/>
          <w:sz w:val="20"/>
          <w:szCs w:val="20"/>
        </w:rPr>
        <w:t xml:space="preserve">The spectral radius 0.976 is close to but strictly below unity, placing the field in the stable regime. The Lyapunov exponent -0.024 guarantees exponential decay of perturbations: a perturbation δh at time 0 decays as ||δh_t|| ≤ ||δh_0|| exp(-0.024t). After 42 steps (one mixing time), the perturbation has decayed by a factor of 1/e.</w:t>
      </w:r>
    </w:p>
    <w:p>
      <w:pPr>
        <w:spacing w:before="60" w:after="100"/>
        <w:jc w:val="both"/>
      </w:pPr>
      <w:r>
        <w:rPr>
          <w:rFonts w:ascii="Times New Roman" w:cs="Times New Roman" w:eastAsia="Times New Roman" w:hAnsi="Times New Roman"/>
          <w:color w:val="333333"/>
          <w:sz w:val="20"/>
          <w:szCs w:val="20"/>
        </w:rPr>
        <w:t xml:space="preserve">The four-timescale design (0.30, 0.60, 0.85, 0.95) provides a multi-resolution temporal memory. The fast dimensions (a=0.30) operate at 1.4-step memory, serving as rapid event detectors. The slow dimensions (a=0.95) operate at 19.5-step memory, maintaining persistent context. This is an architectural choice with an information-theoretic rationale: it allows the field to represent dynamics at multiple temporal scales simultaneously.</w:t>
      </w:r>
    </w:p>
    <w:p>
      <w:pPr>
        <w:spacing w:before="120" w:after="0"/>
      </w:pPr>
      <w:r>
        <w:rPr>
          <w:rFonts w:ascii="Times New Roman" w:cs="Times New Roman" w:eastAsia="Times New Roman" w:hAnsi="Times New Roman"/>
          <w:color w:val="333333"/>
          <w:sz w:val="20"/>
          <w:szCs w:val="20"/>
        </w:rPr>
        <w:t xml:space="preserve"/>
      </w:r>
    </w:p>
    <w:p>
      <w:pPr>
        <w:pStyle w:val="Heading1"/>
        <w:spacing w:before="360" w:after="160"/>
      </w:pPr>
      <w:r>
        <w:rPr>
          <w:rFonts w:ascii="Arial" w:cs="Arial" w:eastAsia="Arial" w:hAnsi="Arial"/>
          <w:b/>
          <w:bCs/>
          <w:color w:val="1A3A5C"/>
          <w:sz w:val="28"/>
          <w:szCs w:val="28"/>
        </w:rPr>
        <w:t xml:space="preserve">11. Large Deviation Theory and Error Bounds</w:t>
      </w:r>
    </w:p>
    <w:p>
      <w:pPr>
        <w:pStyle w:val="Heading2"/>
        <w:spacing w:before="260" w:after="100"/>
      </w:pPr>
      <w:r>
        <w:rPr>
          <w:rFonts w:ascii="Arial" w:cs="Arial" w:eastAsia="Arial" w:hAnsi="Arial"/>
          <w:b/>
          <w:bCs/>
          <w:color w:val="1A3A5C"/>
          <w:sz w:val="24"/>
          <w:szCs w:val="24"/>
        </w:rPr>
        <w:t xml:space="preserve">11.1 Chernoff Exponents</w:t>
      </w:r>
    </w:p>
    <w:p>
      <w:pPr>
        <w:spacing w:before="60" w:after="100"/>
        <w:jc w:val="both"/>
      </w:pPr>
      <w:r>
        <w:rPr>
          <w:rFonts w:ascii="Times New Roman" w:cs="Times New Roman" w:eastAsia="Times New Roman" w:hAnsi="Times New Roman"/>
          <w:color w:val="333333"/>
          <w:sz w:val="20"/>
          <w:szCs w:val="20"/>
        </w:rPr>
        <w:t xml:space="preserve">The Chernoff-Stein lemma [15,16] bounds the error probability of a likelihood ratio test. For two Gaussian hypotheses N(μk, v₀) vs N(μj, v₀) with shared variance, the Chernoff exponent 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16" w:after="16"/>
            </w:pPr>
            <w:r>
              <w:rPr>
                <w:rFonts w:ascii="Courier New" w:cs="Courier New" w:eastAsia="Courier New" w:hAnsi="Courier New"/>
                <w:color w:val="A8D8EA"/>
                <w:sz w:val="17"/>
                <w:szCs w:val="17"/>
              </w:rPr>
              <w:t xml:space="preserve">I(k↔j) = (1/8) ||μk - μj||_v₀²  =  d_FR(k,j)² / 8</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A8D8EA"/>
                <w:sz w:val="17"/>
                <w:szCs w:val="17"/>
              </w:rPr>
              <w:t xml:space="preserve">P(error) ≤ exp(-I(k↔j))     (Chernoff bound)</w:t>
            </w:r>
          </w:p>
        </w:tc>
      </w:tr>
    </w:tbl>
    <w:p>
      <w:pPr>
        <w:spacing w:before="60" w:after="100"/>
        <w:jc w:val="both"/>
      </w:pPr>
      <w:r>
        <w:rPr>
          <w:rFonts w:ascii="Times New Roman" w:cs="Times New Roman" w:eastAsia="Times New Roman" w:hAnsi="Times New Roman"/>
          <w:color w:val="333333"/>
          <w:sz w:val="20"/>
          <w:szCs w:val="20"/>
        </w:rPr>
        <w:t xml:space="preserve">We computed the Chernoff exponents for all 45 class pairs: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2000"/>
      </w:tblGrid>
      <w:tr>
        <w:trPr>
          <w:tblHeader/>
        </w:trPr>
        <w:tc>
          <w:tcPr>
            <w:tcW w:type="dxa" w:w="35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Class Pair</w:t>
            </w:r>
          </w:p>
        </w:tc>
        <w:tc>
          <w:tcPr>
            <w:tcW w:type="dxa" w:w="18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FR Distance</w:t>
            </w:r>
          </w:p>
        </w:tc>
        <w:tc>
          <w:tcPr>
            <w:tcW w:type="dxa" w:w="18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Chernoff I</w:t>
            </w:r>
          </w:p>
        </w:tc>
        <w:tc>
          <w:tcPr>
            <w:tcW w:type="dxa" w:w="20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P(error) ≤</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log_info ↔ log_warn (hardest)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8.006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8.01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3.3 × 10⁻⁴</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log_error ↔ log_info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8.444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8.91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1.4 × 10⁻⁴</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net_normal ↔ log_warn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9.019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10.17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3.8 × 10⁻⁵</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bin_malware ↔ bin_benign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9.377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10.99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1.7 × 10⁻⁵</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net_c2 ↔ net_scan (2nd easiest)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17.717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39.24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9.1 × 10⁻¹⁸</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log_error ↔ bin_malware (easiest)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18.706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43.74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333333"/>
                <w:sz w:val="18"/>
                <w:szCs w:val="18"/>
              </w:rPr>
              <w:t xml:space="preserve">1.0 × 10⁻¹⁹</w:t>
            </w:r>
          </w:p>
        </w:tc>
      </w:tr>
    </w:tbl>
    <w:p>
      <w:pPr>
        <w:spacing w:before="100" w:after="0"/>
      </w:pPr>
      <w:r>
        <w:rPr>
          <w:rFonts w:ascii="Times New Roman" w:cs="Times New Roman" w:eastAsia="Times New Roman" w:hAnsi="Times New Roman"/>
          <w:color w:val="333333"/>
          <w:sz w:val="20"/>
          <w:szCs w:val="20"/>
        </w:rPr>
        <w:t xml:space="preserve"/>
      </w:r>
    </w:p>
    <w:p>
      <w:pPr>
        <w:pStyle w:val="Heading2"/>
        <w:spacing w:before="260" w:after="100"/>
      </w:pPr>
      <w:r>
        <w:rPr>
          <w:rFonts w:ascii="Arial" w:cs="Arial" w:eastAsia="Arial" w:hAnsi="Arial"/>
          <w:b/>
          <w:bCs/>
          <w:color w:val="1A3A5C"/>
          <w:sz w:val="24"/>
          <w:szCs w:val="24"/>
        </w:rPr>
        <w:t xml:space="preserve">11.2 Interpretation</w:t>
      </w:r>
    </w:p>
    <w:p>
      <w:pPr>
        <w:spacing w:before="60" w:after="100"/>
        <w:jc w:val="both"/>
      </w:pPr>
      <w:r>
        <w:rPr>
          <w:rFonts w:ascii="Times New Roman" w:cs="Times New Roman" w:eastAsia="Times New Roman" w:hAnsi="Times New Roman"/>
          <w:color w:val="333333"/>
          <w:sz w:val="20"/>
          <w:szCs w:val="20"/>
        </w:rPr>
        <w:t xml:space="preserve">The worst-case error probability is bounded at 3.3× 10⁻⁴, occurring between log_info and log_warn. These two classes share the [INFO]/[WARN] prefix structure and timestamp format; their distinction rests on the keyword-score features that fire on 'disk', 'pid', and severity keywords. The Chernoff bound is an exponential upper bound, not tight — the actual error rate is zero on the test set, consistent with the bound being conservative.</w:t>
      </w:r>
    </w:p>
    <w:p>
      <w:pPr>
        <w:spacing w:before="60" w:after="100"/>
        <w:jc w:val="both"/>
      </w:pPr>
      <w:r>
        <w:rPr>
          <w:rFonts w:ascii="Times New Roman" w:cs="Times New Roman" w:eastAsia="Times New Roman" w:hAnsi="Times New Roman"/>
          <w:color w:val="333333"/>
          <w:sz w:val="20"/>
          <w:szCs w:val="20"/>
        </w:rPr>
        <w:t xml:space="preserve">The ratio between hardest and easiest Chernoff exponents is 43.74/8.01 = 5.46, a factor of e^{5.46} ≈ 235 in probability. This quantifies the structural imbalance in the classification problem: the log classes are intrinsically harder to separate than the network vs binary classes.</w:t>
      </w:r>
    </w:p>
    <w:p>
      <w:pPr>
        <w:spacing w:before="120" w:after="0"/>
      </w:pPr>
      <w:r>
        <w:rPr>
          <w:rFonts w:ascii="Times New Roman" w:cs="Times New Roman" w:eastAsia="Times New Roman" w:hAnsi="Times New Roman"/>
          <w:color w:val="333333"/>
          <w:sz w:val="20"/>
          <w:szCs w:val="20"/>
        </w:rPr>
        <w:t xml:space="preserve"/>
      </w:r>
    </w:p>
    <w:p>
      <w:pPr>
        <w:pStyle w:val="Heading1"/>
        <w:spacing w:before="360" w:after="160"/>
      </w:pPr>
      <w:r>
        <w:rPr>
          <w:rFonts w:ascii="Arial" w:cs="Arial" w:eastAsia="Arial" w:hAnsi="Arial"/>
          <w:b/>
          <w:bCs/>
          <w:color w:val="1A3A5C"/>
          <w:sz w:val="28"/>
          <w:szCs w:val="28"/>
        </w:rPr>
        <w:t xml:space="preserve">12. Mutual Information Structure</w:t>
      </w:r>
    </w:p>
    <w:p>
      <w:pPr>
        <w:spacing w:before="60" w:after="100"/>
        <w:jc w:val="both"/>
      </w:pPr>
      <w:r>
        <w:rPr>
          <w:rFonts w:ascii="Times New Roman" w:cs="Times New Roman" w:eastAsia="Times New Roman" w:hAnsi="Times New Roman"/>
          <w:color w:val="333333"/>
          <w:sz w:val="20"/>
          <w:szCs w:val="20"/>
        </w:rPr>
        <w:t xml:space="preserve">The total correlation (multi-information) of the 128-dimensional latent representation h encodes the degree to which the encoder W has entangled the latent dimensions. We estimated the total correlation via the log-determinant of the correlation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16" w:after="16"/>
            </w:pPr>
            <w:r>
              <w:rPr>
                <w:rFonts w:ascii="Courier New" w:cs="Courier New" w:eastAsia="Courier New" w:hAnsi="Courier New"/>
                <w:color w:val="A8D8EA"/>
                <w:sz w:val="17"/>
                <w:szCs w:val="17"/>
              </w:rPr>
              <w:t xml:space="preserve">TC(h₁,...,h_d) = Σ H(h_i) - H(h)  ≈  -0.5 log det(C)</w:t>
            </w:r>
          </w:p>
        </w:tc>
      </w:tr>
    </w:tbl>
    <w:p>
      <w:pPr>
        <w:spacing w:before="60" w:after="100"/>
        <w:jc w:val="both"/>
      </w:pPr>
      <w:r>
        <w:rPr>
          <w:rFonts w:ascii="Times New Roman" w:cs="Times New Roman" w:eastAsia="Times New Roman" w:hAnsi="Times New Roman"/>
          <w:color w:val="333333"/>
          <w:sz w:val="20"/>
          <w:szCs w:val="20"/>
        </w:rPr>
        <w:t xml:space="preserve">The measured total correlation is 686.3 nats, indicating substantial inter-dimension dependencies in h. This is a direct consequence of the encoder W being a dense 128×128 matrix — every latent dimension is a linear combination of all feature dimensions.</w:t>
      </w:r>
    </w:p>
    <w:p>
      <w:pPr>
        <w:spacing w:before="60" w:after="100"/>
        <w:jc w:val="both"/>
      </w:pPr>
      <w:r>
        <w:rPr>
          <w:rFonts w:ascii="Times New Roman" w:cs="Times New Roman" w:eastAsia="Times New Roman" w:hAnsi="Times New Roman"/>
          <w:color w:val="333333"/>
          <w:sz w:val="20"/>
          <w:szCs w:val="20"/>
        </w:rPr>
        <w:t xml:space="preserve">Despite high total correlation, the class structure is fully preserved in the 32 most-independent latent dimensions (kNN accuracy 1.0000 vs 1.0000 on full 128 dims). Three dimension pairs show negative correlation near −0.93, indicating near-redundant coding. These redundancies arise from the structural parser's overlap between blocks: global statistics (dims 56-71) and body statistics (dims 80-87) share entropy and byte fraction computations applied to overlapping byte ranges.</w:t>
      </w:r>
    </w:p>
    <w:p>
      <w:pPr>
        <w:spacing w:before="120" w:after="0"/>
      </w:pPr>
      <w:r>
        <w:rPr>
          <w:rFonts w:ascii="Times New Roman" w:cs="Times New Roman" w:eastAsia="Times New Roman" w:hAnsi="Times New Roman"/>
          <w:color w:val="333333"/>
          <w:sz w:val="20"/>
          <w:szCs w:val="20"/>
        </w:rPr>
        <w:t xml:space="preserve"/>
      </w:r>
    </w:p>
    <w:p>
      <w:pPr>
        <w:pStyle w:val="Heading1"/>
        <w:spacing w:before="360" w:after="160"/>
      </w:pPr>
      <w:r>
        <w:rPr>
          <w:rFonts w:ascii="Arial" w:cs="Arial" w:eastAsia="Arial" w:hAnsi="Arial"/>
          <w:b/>
          <w:bCs/>
          <w:color w:val="1A3A5C"/>
          <w:sz w:val="28"/>
          <w:szCs w:val="28"/>
        </w:rPr>
        <w:t xml:space="preserve">13. Convergence Basins and Lyapunov Analysis</w:t>
      </w:r>
    </w:p>
    <w:p>
      <w:pPr>
        <w:spacing w:before="60" w:after="100"/>
        <w:jc w:val="both"/>
      </w:pPr>
      <w:r>
        <w:rPr>
          <w:rFonts w:ascii="Times New Roman" w:cs="Times New Roman" w:eastAsia="Times New Roman" w:hAnsi="Times New Roman"/>
          <w:color w:val="333333"/>
          <w:sz w:val="20"/>
          <w:szCs w:val="20"/>
        </w:rPr>
        <w:t xml:space="preserve">The Lyapunov function V(Δ) = ||Δμ_k - Δμ_k*||² measures distance from the equilibrium centroid. Under the combined attract/repel/MDL dynamics, the analytical convergence rate 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16" w:after="16"/>
            </w:pPr>
            <w:r>
              <w:rPr>
                <w:rFonts w:ascii="Courier New" w:cs="Courier New" w:eastAsia="Courier New" w:hAnsi="Courier New"/>
                <w:color w:val="A8D8EA"/>
                <w:sz w:val="17"/>
                <w:szCs w:val="17"/>
              </w:rPr>
              <w:t xml:space="preserve">dV/dt ≤ -(η - λ) V     ⇒    γ = η - λ = 0.08 - 0.002 = 0.078</w:t>
            </w:r>
          </w:p>
          <w:p>
            <w:pPr>
              <w:spacing w:before="16" w:after="16"/>
            </w:pPr>
            <w:r>
              <w:rPr>
                <w:rFonts w:ascii="Courier New" w:cs="Courier New" w:eastAsia="Courier New" w:hAnsi="Courier New"/>
                <w:color w:val="A8D8EA"/>
                <w:sz w:val="17"/>
                <w:szCs w:val="17"/>
              </w:rPr>
              <w:t xml:space="preserve"/>
            </w:r>
          </w:p>
          <w:p>
            <w:pPr>
              <w:spacing w:before="16" w:after="16"/>
            </w:pPr>
            <w:r>
              <w:rPr>
                <w:rFonts w:ascii="Courier New" w:cs="Courier New" w:eastAsia="Courier New" w:hAnsi="Courier New"/>
                <w:color w:val="A8D8EA"/>
                <w:sz w:val="17"/>
                <w:szCs w:val="17"/>
              </w:rPr>
              <w:t xml:space="preserve">Predicted convergence time: τ = 1/γ = 12.8 steps</w:t>
            </w:r>
          </w:p>
        </w:tc>
      </w:tr>
    </w:tbl>
    <w:p>
      <w:pPr>
        <w:spacing w:before="60" w:after="100"/>
        <w:jc w:val="both"/>
      </w:pPr>
      <w:r>
        <w:rPr>
          <w:rFonts w:ascii="Times New Roman" w:cs="Times New Roman" w:eastAsia="Times New Roman" w:hAnsi="Times New Roman"/>
          <w:color w:val="333333"/>
          <w:sz w:val="20"/>
          <w:szCs w:val="20"/>
        </w:rPr>
        <w:t xml:space="preserve">Empirical simulation from 2σ random initialisations gives convergence times of 700-1800 steps — 55 to 140× slower than the analytical prediction. This discrepancy has a clear explanation: the analytical bound assumes the true-class samples are drawn from N(μk, v₀), but in practice they come from the empirical data distribution, which has heavier tails and non-Gaussian structure. The stochastic gradient noise prevents the rapid deterministic convergence predicted by the Lyapunov bound.</w:t>
      </w:r>
    </w:p>
    <w:p>
      <w:pPr>
        <w:spacing w:before="60" w:after="100"/>
        <w:jc w:val="both"/>
      </w:pPr>
      <w:r>
        <w:rPr>
          <w:rFonts w:ascii="Times New Roman" w:cs="Times New Roman" w:eastAsia="Times New Roman" w:hAnsi="Times New Roman"/>
          <w:color w:val="333333"/>
          <w:sz w:val="20"/>
          <w:szCs w:val="20"/>
        </w:rPr>
        <w:t xml:space="preserve">The implication is that the MDL-attract dynamics are operating in a noise-dominated regime throughout most of training, which is consistent with the online learning literature [22]. The classifier reaches 1.0000 accuracy not because the centroids converge to a fixed point, but because the SNR is high enough (9.4σ) that correct classification is achieved well before convergence.</w:t>
      </w:r>
    </w:p>
    <w:p>
      <w:pPr>
        <w:spacing w:before="120" w:after="0"/>
      </w:pPr>
      <w:r>
        <w:rPr>
          <w:rFonts w:ascii="Times New Roman" w:cs="Times New Roman" w:eastAsia="Times New Roman" w:hAnsi="Times New Roman"/>
          <w:color w:val="333333"/>
          <w:sz w:val="20"/>
          <w:szCs w:val="20"/>
        </w:rPr>
        <w:t xml:space="preserve"/>
      </w:r>
    </w:p>
    <w:p>
      <w:pPr>
        <w:pStyle w:val="Heading1"/>
        <w:spacing w:before="360" w:after="160"/>
      </w:pPr>
      <w:r>
        <w:rPr>
          <w:rFonts w:ascii="Arial" w:cs="Arial" w:eastAsia="Arial" w:hAnsi="Arial"/>
          <w:b/>
          <w:bCs/>
          <w:color w:val="1A3A5C"/>
          <w:sz w:val="28"/>
          <w:szCs w:val="28"/>
        </w:rPr>
        <w:t xml:space="preserve">14. Discussion and Directions</w:t>
      </w:r>
    </w:p>
    <w:p>
      <w:pPr>
        <w:pStyle w:val="Heading2"/>
        <w:spacing w:before="260" w:after="100"/>
      </w:pPr>
      <w:r>
        <w:rPr>
          <w:rFonts w:ascii="Arial" w:cs="Arial" w:eastAsia="Arial" w:hAnsi="Arial"/>
          <w:b/>
          <w:bCs/>
          <w:color w:val="1A3A5C"/>
          <w:sz w:val="24"/>
          <w:szCs w:val="24"/>
        </w:rPr>
        <w:t xml:space="preserve">14.1 What the Probes Collectively Establish</w:t>
      </w:r>
    </w:p>
    <w:p>
      <w:pPr>
        <w:spacing w:before="60" w:after="100"/>
        <w:jc w:val="both"/>
      </w:pPr>
      <w:r>
        <w:rPr>
          <w:rFonts w:ascii="Times New Roman" w:cs="Times New Roman" w:eastAsia="Times New Roman" w:hAnsi="Times New Roman"/>
          <w:color w:val="333333"/>
          <w:sz w:val="20"/>
          <w:szCs w:val="20"/>
        </w:rPr>
        <w:t xml:space="preserve">Taken together, the fourteen probes establish the following coherent picture of CyphaDIF:</w:t>
      </w:r>
    </w:p>
    <w:p>
      <w:pPr>
        <w:pStyle w:val="ListParagraph"/>
        <w:numPr>
          <w:ilvl w:val="0"/>
          <w:numId w:val="2"/>
        </w:numPr>
        <w:spacing w:before="40" w:after="40"/>
      </w:pPr>
      <w:r>
        <w:rPr>
          <w:rFonts w:ascii="Times New Roman" w:cs="Times New Roman" w:eastAsia="Times New Roman" w:hAnsi="Times New Roman"/>
          <w:b/>
          <w:bCs/>
          <w:color w:val="333333"/>
          <w:sz w:val="20"/>
          <w:szCs w:val="20"/>
        </w:rPr>
        <w:t xml:space="preserve">The classifier operates on a flat Riemannian manifold </w:t>
      </w:r>
      <w:r>
        <w:rPr>
          <w:rFonts w:ascii="Times New Roman" w:cs="Times New Roman" w:eastAsia="Times New Roman" w:hAnsi="Times New Roman"/>
          <w:color w:val="333333"/>
          <w:sz w:val="20"/>
          <w:szCs w:val="20"/>
        </w:rPr>
        <w:t xml:space="preserve">(Fisher-Rao, zero curvature) that amplifies distances 7.6× relative to Euclidean geometry. All 10 classes are irreducible — no class can be generated by mixing others.</w:t>
      </w:r>
    </w:p>
    <w:p>
      <w:pPr>
        <w:pStyle w:val="ListParagraph"/>
        <w:numPr>
          <w:ilvl w:val="0"/>
          <w:numId w:val="2"/>
        </w:numPr>
        <w:spacing w:before="40" w:after="40"/>
      </w:pPr>
      <w:r>
        <w:rPr>
          <w:rFonts w:ascii="Times New Roman" w:cs="Times New Roman" w:eastAsia="Times New Roman" w:hAnsi="Times New Roman"/>
          <w:b/>
          <w:bCs/>
          <w:color w:val="333333"/>
          <w:sz w:val="20"/>
          <w:szCs w:val="20"/>
        </w:rPr>
        <w:t xml:space="preserve">The operator algebra is non-abelian but solvable, </w:t>
      </w:r>
      <w:r>
        <w:rPr>
          <w:rFonts w:ascii="Times New Roman" w:cs="Times New Roman" w:eastAsia="Times New Roman" w:hAnsi="Times New Roman"/>
          <w:color w:val="333333"/>
          <w:sz w:val="20"/>
          <w:szCs w:val="20"/>
        </w:rPr>
        <w:t xml:space="preserve">forming a closed Lie ideal in the centroid subspace. The classification problem is expressible as a finite composition of elementary operators (attract, repel, decay) — the DIF analogue of Galois solvability by radicals.</w:t>
      </w:r>
    </w:p>
    <w:p>
      <w:pPr>
        <w:pStyle w:val="ListParagraph"/>
        <w:numPr>
          <w:ilvl w:val="0"/>
          <w:numId w:val="2"/>
        </w:numPr>
        <w:spacing w:before="40" w:after="40"/>
      </w:pPr>
      <w:r>
        <w:rPr>
          <w:rFonts w:ascii="Times New Roman" w:cs="Times New Roman" w:eastAsia="Times New Roman" w:hAnsi="Times New Roman"/>
          <w:b/>
          <w:bCs/>
          <w:color w:val="333333"/>
          <w:sz w:val="20"/>
          <w:szCs w:val="20"/>
        </w:rPr>
        <w:t xml:space="preserve">The encoder W is structured, not random, </w:t>
      </w:r>
      <w:r>
        <w:rPr>
          <w:rFonts w:ascii="Times New Roman" w:cs="Times New Roman" w:eastAsia="Times New Roman" w:hAnsi="Times New Roman"/>
          <w:color w:val="333333"/>
          <w:sz w:val="20"/>
          <w:szCs w:val="20"/>
        </w:rPr>
        <w:t xml:space="preserve">with effective rank 123/128 and condition number 11.59. It has spread class-discriminative information across its full spectrum, not concentrated in a few singular directions.</w:t>
      </w:r>
    </w:p>
    <w:p>
      <w:pPr>
        <w:pStyle w:val="ListParagraph"/>
        <w:numPr>
          <w:ilvl w:val="0"/>
          <w:numId w:val="2"/>
        </w:numPr>
        <w:spacing w:before="40" w:after="40"/>
      </w:pPr>
      <w:r>
        <w:rPr>
          <w:rFonts w:ascii="Times New Roman" w:cs="Times New Roman" w:eastAsia="Times New Roman" w:hAnsi="Times New Roman"/>
          <w:b/>
          <w:bCs/>
          <w:color w:val="333333"/>
          <w:sz w:val="20"/>
          <w:szCs w:val="20"/>
        </w:rPr>
        <w:t xml:space="preserve">The operator algebra is semisimple (Wedderburn), </w:t>
      </w:r>
      <w:r>
        <w:rPr>
          <w:rFonts w:ascii="Times New Roman" w:cs="Times New Roman" w:eastAsia="Times New Roman" w:hAnsi="Times New Roman"/>
          <w:color w:val="333333"/>
          <w:sz w:val="20"/>
          <w:szCs w:val="20"/>
        </w:rPr>
        <w:t xml:space="preserve">meaning every representation decomposes into irreducibles. The full-rank Gram matrix confirms 10 independent class representations with no redundancy.</w:t>
      </w:r>
    </w:p>
    <w:p>
      <w:pPr>
        <w:pStyle w:val="ListParagraph"/>
        <w:numPr>
          <w:ilvl w:val="0"/>
          <w:numId w:val="2"/>
        </w:numPr>
        <w:spacing w:before="40" w:after="40"/>
      </w:pPr>
      <w:r>
        <w:rPr>
          <w:rFonts w:ascii="Times New Roman" w:cs="Times New Roman" w:eastAsia="Times New Roman" w:hAnsi="Times New Roman"/>
          <w:b/>
          <w:bCs/>
          <w:color w:val="333333"/>
          <w:sz w:val="20"/>
          <w:szCs w:val="20"/>
        </w:rPr>
        <w:t xml:space="preserve">The 21× CR-bound excess is explained </w:t>
      </w:r>
      <w:r>
        <w:rPr>
          <w:rFonts w:ascii="Times New Roman" w:cs="Times New Roman" w:eastAsia="Times New Roman" w:hAnsi="Times New Roman"/>
          <w:color w:val="333333"/>
          <w:sz w:val="20"/>
          <w:szCs w:val="20"/>
        </w:rPr>
        <w:t xml:space="preserve">by the MDL-attract equilibrium, not by any pathology. The SNR of 9.4σ is the correct measure of classification quality.</w:t>
      </w:r>
    </w:p>
    <w:p>
      <w:pPr>
        <w:pStyle w:val="ListParagraph"/>
        <w:numPr>
          <w:ilvl w:val="0"/>
          <w:numId w:val="2"/>
        </w:numPr>
        <w:spacing w:before="40" w:after="40"/>
      </w:pPr>
      <w:r>
        <w:rPr>
          <w:rFonts w:ascii="Times New Roman" w:cs="Times New Roman" w:eastAsia="Times New Roman" w:hAnsi="Times New Roman"/>
          <w:b/>
          <w:bCs/>
          <w:color w:val="333333"/>
          <w:sz w:val="20"/>
          <w:szCs w:val="20"/>
        </w:rPr>
        <w:t xml:space="preserve">Error rates are bounded exponentially via Chernoff exponents, </w:t>
      </w:r>
      <w:r>
        <w:rPr>
          <w:rFonts w:ascii="Times New Roman" w:cs="Times New Roman" w:eastAsia="Times New Roman" w:hAnsi="Times New Roman"/>
          <w:color w:val="333333"/>
          <w:sz w:val="20"/>
          <w:szCs w:val="20"/>
        </w:rPr>
        <w:t xml:space="preserve">ranging from I=8.0 (log_info/log_warn, P≤3.3×10⁻⁴) to I=43.7 (log_error/bin_malware, P≤1.0×10⁻¹⁹).</w:t>
      </w:r>
    </w:p>
    <w:p>
      <w:pPr>
        <w:pStyle w:val="ListParagraph"/>
        <w:numPr>
          <w:ilvl w:val="0"/>
          <w:numId w:val="2"/>
        </w:numPr>
        <w:spacing w:before="40" w:after="40"/>
      </w:pPr>
      <w:r>
        <w:rPr>
          <w:rFonts w:ascii="Times New Roman" w:cs="Times New Roman" w:eastAsia="Times New Roman" w:hAnsi="Times New Roman"/>
          <w:b/>
          <w:bCs/>
          <w:color w:val="333333"/>
          <w:sz w:val="20"/>
          <w:szCs w:val="20"/>
        </w:rPr>
        <w:t xml:space="preserve">The NIGField is provably stable </w:t>
      </w:r>
      <w:r>
        <w:rPr>
          <w:rFonts w:ascii="Times New Roman" w:cs="Times New Roman" w:eastAsia="Times New Roman" w:hAnsi="Times New Roman"/>
          <w:color w:val="333333"/>
          <w:sz w:val="20"/>
          <w:szCs w:val="20"/>
        </w:rPr>
        <w:t xml:space="preserve">with Lyapunov exponent -0.024, mixing time 41.6 steps, and spectral radius 0.976.</w:t>
      </w:r>
    </w:p>
    <w:p>
      <w:pPr>
        <w:pStyle w:val="ListParagraph"/>
        <w:numPr>
          <w:ilvl w:val="0"/>
          <w:numId w:val="2"/>
        </w:numPr>
        <w:spacing w:before="40" w:after="40"/>
      </w:pPr>
      <w:r>
        <w:rPr>
          <w:rFonts w:ascii="Times New Roman" w:cs="Times New Roman" w:eastAsia="Times New Roman" w:hAnsi="Times New Roman"/>
          <w:b/>
          <w:bCs/>
          <w:color w:val="333333"/>
          <w:sz w:val="20"/>
          <w:szCs w:val="20"/>
        </w:rPr>
        <w:t xml:space="preserve">Diffusion geometry correlates with FR geometry at r=0.88, </w:t>
      </w:r>
      <w:r>
        <w:rPr>
          <w:rFonts w:ascii="Times New Roman" w:cs="Times New Roman" w:eastAsia="Times New Roman" w:hAnsi="Times New Roman"/>
          <w:color w:val="333333"/>
          <w:sz w:val="20"/>
          <w:szCs w:val="20"/>
        </w:rPr>
        <w:t xml:space="preserve">validating the information-geometric interpretation of the classifier's decision structure.</w:t>
      </w:r>
    </w:p>
    <w:p>
      <w:pPr>
        <w:pStyle w:val="Heading2"/>
        <w:spacing w:before="260" w:after="100"/>
      </w:pPr>
      <w:r>
        <w:rPr>
          <w:rFonts w:ascii="Arial" w:cs="Arial" w:eastAsia="Arial" w:hAnsi="Arial"/>
          <w:b/>
          <w:bCs/>
          <w:color w:val="1A3A5C"/>
          <w:sz w:val="24"/>
          <w:szCs w:val="24"/>
        </w:rPr>
        <w:t xml:space="preserve">14.2 Enhancement Directions</w:t>
      </w:r>
    </w:p>
    <w:p>
      <w:pPr>
        <w:spacing w:before="60" w:after="100"/>
        <w:jc w:val="both"/>
      </w:pPr>
      <w:r>
        <w:rPr>
          <w:rFonts w:ascii="Times New Roman" w:cs="Times New Roman" w:eastAsia="Times New Roman" w:hAnsi="Times New Roman"/>
          <w:color w:val="333333"/>
          <w:sz w:val="20"/>
          <w:szCs w:val="20"/>
        </w:rPr>
        <w:t xml:space="preserve">The probes reveal three potential enhancement directions:</w:t>
      </w:r>
    </w:p>
    <w:p>
      <w:pPr>
        <w:pStyle w:val="ListParagraph"/>
        <w:numPr>
          <w:ilvl w:val="0"/>
          <w:numId w:val="2"/>
        </w:numPr>
        <w:spacing w:before="40" w:after="40"/>
      </w:pPr>
      <w:r>
        <w:rPr>
          <w:rFonts w:ascii="Times New Roman" w:cs="Times New Roman" w:eastAsia="Times New Roman" w:hAnsi="Times New Roman"/>
          <w:b/>
          <w:bCs/>
          <w:color w:val="333333"/>
          <w:sz w:val="20"/>
          <w:szCs w:val="20"/>
        </w:rPr>
        <w:t xml:space="preserve">The log_info/log_warn bottleneck (I=8.01) </w:t>
      </w:r>
      <w:r>
        <w:rPr>
          <w:rFonts w:ascii="Times New Roman" w:cs="Times New Roman" w:eastAsia="Times New Roman" w:hAnsi="Times New Roman"/>
          <w:color w:val="333333"/>
          <w:sz w:val="20"/>
          <w:szCs w:val="20"/>
        </w:rPr>
        <w:t xml:space="preserve">is the single most constraining class pair. The Galois lattice identifies dims 88, 65, 120, 78, 11 as the minimum distinguishing feature set. A targeted sparse attention mechanism over these dimensions could increase the Chernoff exponent without expanding the model.</w:t>
      </w:r>
    </w:p>
    <w:p>
      <w:pPr>
        <w:pStyle w:val="ListParagraph"/>
        <w:numPr>
          <w:ilvl w:val="0"/>
          <w:numId w:val="2"/>
        </w:numPr>
        <w:spacing w:before="40" w:after="40"/>
      </w:pPr>
      <w:r>
        <w:rPr>
          <w:rFonts w:ascii="Times New Roman" w:cs="Times New Roman" w:eastAsia="Times New Roman" w:hAnsi="Times New Roman"/>
          <w:b/>
          <w:bCs/>
          <w:color w:val="333333"/>
          <w:sz w:val="20"/>
          <w:szCs w:val="20"/>
        </w:rPr>
        <w:t xml:space="preserve">The encoder W's high total correlation (686 nats) </w:t>
      </w:r>
      <w:r>
        <w:rPr>
          <w:rFonts w:ascii="Times New Roman" w:cs="Times New Roman" w:eastAsia="Times New Roman" w:hAnsi="Times New Roman"/>
          <w:color w:val="333333"/>
          <w:sz w:val="20"/>
          <w:szCs w:val="20"/>
        </w:rPr>
        <w:t xml:space="preserve">suggests it is not information-theoretically optimal. An information bottleneck objective [23] on W during training could reduce total correlation while preserving classification accuracy, yielding a more compact representation with better generalisation.</w:t>
      </w:r>
    </w:p>
    <w:p>
      <w:pPr>
        <w:pStyle w:val="ListParagraph"/>
        <w:numPr>
          <w:ilvl w:val="0"/>
          <w:numId w:val="2"/>
        </w:numPr>
        <w:spacing w:before="40" w:after="40"/>
      </w:pPr>
      <w:r>
        <w:rPr>
          <w:rFonts w:ascii="Times New Roman" w:cs="Times New Roman" w:eastAsia="Times New Roman" w:hAnsi="Times New Roman"/>
          <w:b/>
          <w:bCs/>
          <w:color w:val="333333"/>
          <w:sz w:val="20"/>
          <w:szCs w:val="20"/>
        </w:rPr>
        <w:t xml:space="preserve">The convergence basin gap (12.8 analytical vs 700-1800 empirical) </w:t>
      </w:r>
      <w:r>
        <w:rPr>
          <w:rFonts w:ascii="Times New Roman" w:cs="Times New Roman" w:eastAsia="Times New Roman" w:hAnsi="Times New Roman"/>
          <w:color w:val="333333"/>
          <w:sz w:val="20"/>
          <w:szCs w:val="20"/>
        </w:rPr>
        <w:t xml:space="preserve">indicates the stochastic gradient noise is the dominant factor in convergence speed. Variance-reduced gradient estimators (SVRG [24], SARAH [25]) applied to the attract update could close this gap, reducing convergence time by a factor of ~55× in the noise-dominated early training phase.</w:t>
      </w:r>
    </w:p>
    <w:p>
      <w:pPr>
        <w:pStyle w:val="Heading2"/>
        <w:spacing w:before="260" w:after="100"/>
      </w:pPr>
      <w:r>
        <w:rPr>
          <w:rFonts w:ascii="Arial" w:cs="Arial" w:eastAsia="Arial" w:hAnsi="Arial"/>
          <w:b/>
          <w:bCs/>
          <w:color w:val="1A3A5C"/>
          <w:sz w:val="24"/>
          <w:szCs w:val="24"/>
        </w:rPr>
        <w:t xml:space="preserve">14.3 Galois Theory and Solvability</w:t>
      </w:r>
    </w:p>
    <w:p>
      <w:pPr>
        <w:spacing w:before="60" w:after="100"/>
        <w:jc w:val="both"/>
      </w:pPr>
      <w:r>
        <w:rPr>
          <w:rFonts w:ascii="Times New Roman" w:cs="Times New Roman" w:eastAsia="Times New Roman" w:hAnsi="Times New Roman"/>
          <w:color w:val="333333"/>
          <w:sz w:val="20"/>
          <w:szCs w:val="20"/>
        </w:rPr>
        <w:t xml:space="preserve">The Galois-theoretic interpretation is worth making precise. Galois theory characterises whether a polynomial is solvable by radicals by examining whether its Galois group is a solvable group. The analogue here is: is the classification problem solvable by the elementary operators {attract, repel, decay}?</w:t>
      </w:r>
    </w:p>
    <w:p>
      <w:pPr>
        <w:spacing w:before="60" w:after="100"/>
        <w:jc w:val="both"/>
      </w:pPr>
      <w:r>
        <w:rPr>
          <w:rFonts w:ascii="Times New Roman" w:cs="Times New Roman" w:eastAsia="Times New Roman" w:hAnsi="Times New Roman"/>
          <w:color w:val="333333"/>
          <w:sz w:val="20"/>
          <w:szCs w:val="20"/>
        </w:rPr>
        <w:t xml:space="preserve">The answer is yes, and the proof is the solvability of the Lie algebra established in Section 5. The derived series terminates after one step because the brackets land in the abelian centroid subspace. This is the classifier-theoretic analogue of a degree-4 polynomial's Galois group being contained in the solvable group S₄ — the problem is simple enough that elementary operations suffice.</w:t>
      </w:r>
    </w:p>
    <w:p>
      <w:pPr>
        <w:spacing w:before="60" w:after="100"/>
        <w:jc w:val="both"/>
      </w:pPr>
      <w:r>
        <w:rPr>
          <w:rFonts w:ascii="Times New Roman" w:cs="Times New Roman" w:eastAsia="Times New Roman" w:hAnsi="Times New Roman"/>
          <w:color w:val="333333"/>
          <w:sz w:val="20"/>
          <w:szCs w:val="20"/>
        </w:rPr>
        <w:t xml:space="preserve">For a problem that is not solvable by radicals in this sense, the operator algebra's derived series would not terminate — the brackets would generate operators outside the current span, requiring an ever-expanding operator set. This would manifest as classifiers that cannot converge with fixed operator types, requiring higher-order mechanisms (nonlinear encoders, attention, etc.). The current results suggest CyphaDIF's 10-class byte-stream problem is within the solvable regime.</w:t>
      </w:r>
    </w:p>
    <w:p>
      <w:pPr>
        <w:spacing w:before="120" w:after="0"/>
      </w:pPr>
      <w:r>
        <w:rPr>
          <w:rFonts w:ascii="Times New Roman" w:cs="Times New Roman" w:eastAsia="Times New Roman" w:hAnsi="Times New Roman"/>
          <w:color w:val="333333"/>
          <w:sz w:val="20"/>
          <w:szCs w:val="20"/>
        </w:rPr>
        <w:t xml:space="preserve"/>
      </w:r>
    </w:p>
    <w:p>
      <w:pPr>
        <w:pStyle w:val="Heading1"/>
        <w:spacing w:before="360" w:after="160"/>
      </w:pPr>
      <w:r>
        <w:rPr>
          <w:rFonts w:ascii="Arial" w:cs="Arial" w:eastAsia="Arial" w:hAnsi="Arial"/>
          <w:b/>
          <w:bCs/>
          <w:color w:val="1A3A5C"/>
          <w:sz w:val="28"/>
          <w:szCs w:val="28"/>
        </w:rPr>
        <w:t xml:space="preserve">15. Conclusion</w:t>
      </w:r>
    </w:p>
    <w:p>
      <w:pPr>
        <w:spacing w:before="60" w:after="100"/>
        <w:jc w:val="both"/>
      </w:pPr>
      <w:r>
        <w:rPr>
          <w:rFonts w:ascii="Times New Roman" w:cs="Times New Roman" w:eastAsia="Times New Roman" w:hAnsi="Times New Roman"/>
          <w:color w:val="333333"/>
          <w:sz w:val="20"/>
          <w:szCs w:val="20"/>
        </w:rPr>
        <w:t xml:space="preserve">We have conducted a fourteen-probe group-theoretic and differential-geometric analysis of the CyphaDIF classifier. The analysis demonstrates that the empirical behaviour of the classifier is fully explained by and consistent with its mathematical foundations: the flat Fisher-Rao geometry, the solvable non-abelian Lie algebra, the semisimple representation structure, the MDL-attract equilibrium, and the stable ergodic dynamics of the temporal field.</w:t>
      </w:r>
    </w:p>
    <w:p>
      <w:pPr>
        <w:spacing w:before="60" w:after="100"/>
        <w:jc w:val="both"/>
      </w:pPr>
      <w:r>
        <w:rPr>
          <w:rFonts w:ascii="Times New Roman" w:cs="Times New Roman" w:eastAsia="Times New Roman" w:hAnsi="Times New Roman"/>
          <w:color w:val="333333"/>
          <w:sz w:val="20"/>
          <w:szCs w:val="20"/>
        </w:rPr>
        <w:t xml:space="preserve">The Galois-theoretic framing yields a precise characterisation: the classification problem is solvable in the DIF operator algebra (elementary operators suffice; the derived series terminates). The Chernoff analysis provides finite error bounds for all 45 class pairs. The equilibrium SNR of 9.4σ explains the 1.0000 macro accuracy without invoking any special properties of the data — the mathematics of the architecture is sufficient.</w:t>
      </w:r>
    </w:p>
    <w:p>
      <w:pPr>
        <w:spacing w:before="60" w:after="100"/>
        <w:jc w:val="both"/>
      </w:pPr>
      <w:r>
        <w:rPr>
          <w:rFonts w:ascii="Times New Roman" w:cs="Times New Roman" w:eastAsia="Times New Roman" w:hAnsi="Times New Roman"/>
          <w:color w:val="333333"/>
          <w:sz w:val="20"/>
          <w:szCs w:val="20"/>
        </w:rPr>
        <w:t xml:space="preserve">Three enhancement directions emerge from the probes: targeted sparse attention on the minimum distinguishing feature set for the hardest class pair, information bottleneck regularisation of the encoder, and variance-reduced gradient estimation for the attract update. Each is mathematically motivated by the profiling results and each addresses a distinct identified limitation.</w:t>
      </w:r>
    </w:p>
    <w:p>
      <w:pPr>
        <w:spacing w:before="120" w:after="0"/>
      </w:pPr>
      <w:r>
        <w:rPr>
          <w:rFonts w:ascii="Times New Roman" w:cs="Times New Roman" w:eastAsia="Times New Roman" w:hAnsi="Times New Roman"/>
          <w:color w:val="333333"/>
          <w:sz w:val="20"/>
          <w:szCs w:val="20"/>
        </w:rPr>
        <w:t xml:space="preserve"/>
      </w:r>
    </w:p>
    <w:p>
      <w:pPr>
        <w:pStyle w:val="Heading1"/>
        <w:spacing w:before="360" w:after="160"/>
      </w:pPr>
      <w:r>
        <w:rPr>
          <w:rFonts w:ascii="Arial" w:cs="Arial" w:eastAsia="Arial" w:hAnsi="Arial"/>
          <w:b/>
          <w:bCs/>
          <w:color w:val="1A3A5C"/>
          <w:sz w:val="28"/>
          <w:szCs w:val="28"/>
        </w:rPr>
        <w:t xml:space="preserve">References</w:t>
      </w:r>
    </w:p>
    <w:p>
      <w:pPr>
        <w:spacing w:before="40" w:after="40"/>
      </w:pPr>
      <w:r>
        <w:rPr>
          <w:rFonts w:ascii="Times New Roman" w:cs="Times New Roman" w:eastAsia="Times New Roman" w:hAnsi="Times New Roman"/>
          <w:color w:val="666666"/>
          <w:sz w:val="18"/>
          <w:szCs w:val="18"/>
        </w:rPr>
        <w:t xml:space="preserve">[1] Friston, K. (2010). The free-energy principle: a unified brain theory? Nature Reviews Neuroscience, 11(2), 127-138.</w:t>
      </w:r>
    </w:p>
    <w:p>
      <w:pPr>
        <w:spacing w:before="40" w:after="40"/>
      </w:pPr>
      <w:r>
        <w:rPr>
          <w:rFonts w:ascii="Times New Roman" w:cs="Times New Roman" w:eastAsia="Times New Roman" w:hAnsi="Times New Roman"/>
          <w:color w:val="666666"/>
          <w:sz w:val="18"/>
          <w:szCs w:val="18"/>
        </w:rPr>
        <w:t xml:space="preserve">[2] Parr, T., Pezzulo, G., &amp; Friston, K. J. (2022). Active Inference: The Free Energy Principle in Mind, Brain, and Behavior. MIT Press.</w:t>
      </w:r>
    </w:p>
    <w:p>
      <w:pPr>
        <w:spacing w:before="40" w:after="40"/>
      </w:pPr>
      <w:r>
        <w:rPr>
          <w:rFonts w:ascii="Times New Roman" w:cs="Times New Roman" w:eastAsia="Times New Roman" w:hAnsi="Times New Roman"/>
          <w:color w:val="666666"/>
          <w:sz w:val="18"/>
          <w:szCs w:val="18"/>
        </w:rPr>
        <w:t xml:space="preserve">[3] Amari, S. (1998). Natural gradient works efficiently in learning. Neural Computation, 10(2), 251-276.</w:t>
      </w:r>
    </w:p>
    <w:p>
      <w:pPr>
        <w:spacing w:before="40" w:after="40"/>
      </w:pPr>
      <w:r>
        <w:rPr>
          <w:rFonts w:ascii="Times New Roman" w:cs="Times New Roman" w:eastAsia="Times New Roman" w:hAnsi="Times New Roman"/>
          <w:color w:val="666666"/>
          <w:sz w:val="18"/>
          <w:szCs w:val="18"/>
        </w:rPr>
        <w:t xml:space="preserve">[4] Amari, S., &amp; Nagaoka, H. (2000). Methods of Information Geometry. American Mathematical Society.</w:t>
      </w:r>
    </w:p>
    <w:p>
      <w:pPr>
        <w:spacing w:before="40" w:after="40"/>
      </w:pPr>
      <w:r>
        <w:rPr>
          <w:rFonts w:ascii="Times New Roman" w:cs="Times New Roman" w:eastAsia="Times New Roman" w:hAnsi="Times New Roman"/>
          <w:color w:val="666666"/>
          <w:sz w:val="18"/>
          <w:szCs w:val="18"/>
        </w:rPr>
        <w:t xml:space="preserve">[5] Rissanen, J. (1978). Modeling by shortest data description. Automatica, 14(5), 465-471.</w:t>
      </w:r>
    </w:p>
    <w:p>
      <w:pPr>
        <w:spacing w:before="40" w:after="40"/>
      </w:pPr>
      <w:r>
        <w:rPr>
          <w:rFonts w:ascii="Times New Roman" w:cs="Times New Roman" w:eastAsia="Times New Roman" w:hAnsi="Times New Roman"/>
          <w:color w:val="666666"/>
          <w:sz w:val="18"/>
          <w:szCs w:val="18"/>
        </w:rPr>
        <w:t xml:space="preserve">[6] Grünwald, P. D. (2007). The Minimum Description Length Principle. MIT Press.</w:t>
      </w:r>
    </w:p>
    <w:p>
      <w:pPr>
        <w:spacing w:before="40" w:after="40"/>
      </w:pPr>
      <w:r>
        <w:rPr>
          <w:rFonts w:ascii="Times New Roman" w:cs="Times New Roman" w:eastAsia="Times New Roman" w:hAnsi="Times New Roman"/>
          <w:color w:val="666666"/>
          <w:sz w:val="18"/>
          <w:szCs w:val="18"/>
        </w:rPr>
        <w:t xml:space="preserve">[7] Hadsell, R., Chopra, S., &amp; LeCun, Y. (2006). Dimensionality reduction by learning an invariant mapping. CVPR 2006, 1735-1742.</w:t>
      </w:r>
    </w:p>
    <w:p>
      <w:pPr>
        <w:spacing w:before="40" w:after="40"/>
      </w:pPr>
      <w:r>
        <w:rPr>
          <w:rFonts w:ascii="Times New Roman" w:cs="Times New Roman" w:eastAsia="Times New Roman" w:hAnsi="Times New Roman"/>
          <w:color w:val="666666"/>
          <w:sz w:val="18"/>
          <w:szCs w:val="18"/>
        </w:rPr>
        <w:t xml:space="preserve">[8] [CyphaDIF internal technical documentation, 2026. Author withheld for review.]</w:t>
      </w:r>
    </w:p>
    <w:p>
      <w:pPr>
        <w:spacing w:before="40" w:after="40"/>
      </w:pPr>
      <w:r>
        <w:rPr>
          <w:rFonts w:ascii="Times New Roman" w:cs="Times New Roman" w:eastAsia="Times New Roman" w:hAnsi="Times New Roman"/>
          <w:color w:val="666666"/>
          <w:sz w:val="18"/>
          <w:szCs w:val="18"/>
        </w:rPr>
        <w:t xml:space="preserve">[9] Welford, B. P. (1962). Note on a method for calculating corrected sums of squares and products. Technometrics, 4(3), 419-420.</w:t>
      </w:r>
    </w:p>
    <w:p>
      <w:pPr>
        <w:spacing w:before="40" w:after="40"/>
      </w:pPr>
      <w:r>
        <w:rPr>
          <w:rFonts w:ascii="Times New Roman" w:cs="Times New Roman" w:eastAsia="Times New Roman" w:hAnsi="Times New Roman"/>
          <w:color w:val="666666"/>
          <w:sz w:val="18"/>
          <w:szCs w:val="18"/>
        </w:rPr>
        <w:t xml:space="preserve">[10] Barron, A., Rissanen, J., &amp; Yu, B. (1998). The minimum description length principle in coding and modeling. IEEE Transactions on Information Theory, 44(6), 2743-2760.</w:t>
      </w:r>
    </w:p>
    <w:p>
      <w:pPr>
        <w:spacing w:before="40" w:after="40"/>
      </w:pPr>
      <w:r>
        <w:rPr>
          <w:rFonts w:ascii="Times New Roman" w:cs="Times New Roman" w:eastAsia="Times New Roman" w:hAnsi="Times New Roman"/>
          <w:color w:val="666666"/>
          <w:sz w:val="18"/>
          <w:szCs w:val="18"/>
        </w:rPr>
        <w:t xml:space="preserve">[11] McAllester, D. (1999). PAC-Bayesian model averaging. Proceedings of COLT 1999, 164-170.</w:t>
      </w:r>
    </w:p>
    <w:p>
      <w:pPr>
        <w:spacing w:before="40" w:after="40"/>
      </w:pPr>
      <w:r>
        <w:rPr>
          <w:rFonts w:ascii="Times New Roman" w:cs="Times New Roman" w:eastAsia="Times New Roman" w:hAnsi="Times New Roman"/>
          <w:color w:val="666666"/>
          <w:sz w:val="18"/>
          <w:szCs w:val="18"/>
        </w:rPr>
        <w:t xml:space="preserve">[12] Catoni, O. (2007). PAC-Bayesian Supervised Classification. Institute of Mathematical Statistics.</w:t>
      </w:r>
    </w:p>
    <w:p>
      <w:pPr>
        <w:spacing w:before="40" w:after="40"/>
      </w:pPr>
      <w:r>
        <w:rPr>
          <w:rFonts w:ascii="Times New Roman" w:cs="Times New Roman" w:eastAsia="Times New Roman" w:hAnsi="Times New Roman"/>
          <w:color w:val="666666"/>
          <w:sz w:val="18"/>
          <w:szCs w:val="18"/>
        </w:rPr>
        <w:t xml:space="preserve">[13] Galois, É. (1832). Mémoire sur les conditions de résolubilité des équations par radicaux. Published posthumously; modern treatment in Stewart, I. (2015). Galois Theory (4th ed.). CRC Press.</w:t>
      </w:r>
    </w:p>
    <w:p>
      <w:pPr>
        <w:spacing w:before="40" w:after="40"/>
      </w:pPr>
      <w:r>
        <w:rPr>
          <w:rFonts w:ascii="Times New Roman" w:cs="Times New Roman" w:eastAsia="Times New Roman" w:hAnsi="Times New Roman"/>
          <w:color w:val="666666"/>
          <w:sz w:val="18"/>
          <w:szCs w:val="18"/>
        </w:rPr>
        <w:t xml:space="preserve">[14] Chung, F. R. K. (1997). Spectral Graph Theory. American Mathematical Society.</w:t>
      </w:r>
    </w:p>
    <w:p>
      <w:pPr>
        <w:spacing w:before="40" w:after="40"/>
      </w:pPr>
      <w:r>
        <w:rPr>
          <w:rFonts w:ascii="Times New Roman" w:cs="Times New Roman" w:eastAsia="Times New Roman" w:hAnsi="Times New Roman"/>
          <w:color w:val="666666"/>
          <w:sz w:val="18"/>
          <w:szCs w:val="18"/>
        </w:rPr>
        <w:t xml:space="preserve">[15] Chernoff, H. (1952). A measure of asymptotic efficiency for tests of a hypothesis based on the sum of observations. Annals of Mathematical Statistics, 23(4), 493-507.</w:t>
      </w:r>
    </w:p>
    <w:p>
      <w:pPr>
        <w:spacing w:before="40" w:after="40"/>
      </w:pPr>
      <w:r>
        <w:rPr>
          <w:rFonts w:ascii="Times New Roman" w:cs="Times New Roman" w:eastAsia="Times New Roman" w:hAnsi="Times New Roman"/>
          <w:color w:val="666666"/>
          <w:sz w:val="18"/>
          <w:szCs w:val="18"/>
        </w:rPr>
        <w:t xml:space="preserve">[16] Stein, C. (1956). Efficient nonparametric testing and estimation. Proceedings of the Third Berkeley Symposium on Mathematical Statistics and Probability, 1, 187-195.</w:t>
      </w:r>
    </w:p>
    <w:p>
      <w:pPr>
        <w:spacing w:before="40" w:after="40"/>
      </w:pPr>
      <w:r>
        <w:rPr>
          <w:rFonts w:ascii="Times New Roman" w:cs="Times New Roman" w:eastAsia="Times New Roman" w:hAnsi="Times New Roman"/>
          <w:color w:val="666666"/>
          <w:sz w:val="18"/>
          <w:szCs w:val="18"/>
        </w:rPr>
        <w:t xml:space="preserve">[17] Humphreys, J. E. (1972). Introduction to Lie Algebras and Representation Theory. Springer.</w:t>
      </w:r>
    </w:p>
    <w:p>
      <w:pPr>
        <w:spacing w:before="40" w:after="40"/>
      </w:pPr>
      <w:r>
        <w:rPr>
          <w:rFonts w:ascii="Times New Roman" w:cs="Times New Roman" w:eastAsia="Times New Roman" w:hAnsi="Times New Roman"/>
          <w:color w:val="666666"/>
          <w:sz w:val="18"/>
          <w:szCs w:val="18"/>
        </w:rPr>
        <w:t xml:space="preserve">[18] Marchenko, V. A., &amp; Pastur, L. A. (1967). Distribution of eigenvalues for some sets of random matrices. Sbornik: Mathematics, 1(4), 457-483.</w:t>
      </w:r>
    </w:p>
    <w:p>
      <w:pPr>
        <w:spacing w:before="40" w:after="40"/>
      </w:pPr>
      <w:r>
        <w:rPr>
          <w:rFonts w:ascii="Times New Roman" w:cs="Times New Roman" w:eastAsia="Times New Roman" w:hAnsi="Times New Roman"/>
          <w:color w:val="666666"/>
          <w:sz w:val="18"/>
          <w:szCs w:val="18"/>
        </w:rPr>
        <w:t xml:space="preserve">[19] Artin, E. (1927). Zur Theorie der hyperkomplexen Zahlen. Abhandlungen aus dem Mathematischen Seminar der Universität Hamburg, 5, 251-260.</w:t>
      </w:r>
    </w:p>
    <w:p>
      <w:pPr>
        <w:spacing w:before="40" w:after="40"/>
      </w:pPr>
      <w:r>
        <w:rPr>
          <w:rFonts w:ascii="Times New Roman" w:cs="Times New Roman" w:eastAsia="Times New Roman" w:hAnsi="Times New Roman"/>
          <w:color w:val="666666"/>
          <w:sz w:val="18"/>
          <w:szCs w:val="18"/>
        </w:rPr>
        <w:t xml:space="preserve">[20] Cramér, H. (1946). Mathematical Methods of Statistics. Princeton University Press.</w:t>
      </w:r>
    </w:p>
    <w:p>
      <w:pPr>
        <w:spacing w:before="40" w:after="40"/>
      </w:pPr>
      <w:r>
        <w:rPr>
          <w:rFonts w:ascii="Times New Roman" w:cs="Times New Roman" w:eastAsia="Times New Roman" w:hAnsi="Times New Roman"/>
          <w:color w:val="666666"/>
          <w:sz w:val="18"/>
          <w:szCs w:val="18"/>
        </w:rPr>
        <w:t xml:space="preserve">[21] Rao, C. R. (1945). Information and the accuracy attainable in the estimation of statistical parameters. Bulletin of the Calcutta Mathematical Society, 37, 81-91.</w:t>
      </w:r>
    </w:p>
    <w:p>
      <w:pPr>
        <w:spacing w:before="40" w:after="40"/>
      </w:pPr>
      <w:r>
        <w:rPr>
          <w:rFonts w:ascii="Times New Roman" w:cs="Times New Roman" w:eastAsia="Times New Roman" w:hAnsi="Times New Roman"/>
          <w:color w:val="666666"/>
          <w:sz w:val="18"/>
          <w:szCs w:val="18"/>
        </w:rPr>
        <w:t xml:space="preserve">[22] Bottou, L. (2010). Large-scale machine learning with stochastic gradient descent. COMPSTAT 2010, 177-186.</w:t>
      </w:r>
    </w:p>
    <w:p>
      <w:pPr>
        <w:spacing w:before="40" w:after="40"/>
      </w:pPr>
      <w:r>
        <w:rPr>
          <w:rFonts w:ascii="Times New Roman" w:cs="Times New Roman" w:eastAsia="Times New Roman" w:hAnsi="Times New Roman"/>
          <w:color w:val="666666"/>
          <w:sz w:val="18"/>
          <w:szCs w:val="18"/>
        </w:rPr>
        <w:t xml:space="preserve">[23] Tishby, N., Pereira, F. C., &amp; Bialek, W. (1999). The information bottleneck method. Proceedings of the 37th Allerton Conference on Communication, Control, and Computing.</w:t>
      </w:r>
    </w:p>
    <w:p>
      <w:pPr>
        <w:spacing w:before="40" w:after="40"/>
      </w:pPr>
      <w:r>
        <w:rPr>
          <w:rFonts w:ascii="Times New Roman" w:cs="Times New Roman" w:eastAsia="Times New Roman" w:hAnsi="Times New Roman"/>
          <w:color w:val="666666"/>
          <w:sz w:val="18"/>
          <w:szCs w:val="18"/>
        </w:rPr>
        <w:t xml:space="preserve">[24] Johnson, R., &amp; Zhang, T. (2013). Accelerating stochastic gradient descent using predictive variance reduction. NIPS 2013, 315-323.</w:t>
      </w:r>
    </w:p>
    <w:p>
      <w:pPr>
        <w:spacing w:before="40" w:after="40"/>
      </w:pPr>
      <w:r>
        <w:rPr>
          <w:rFonts w:ascii="Times New Roman" w:cs="Times New Roman" w:eastAsia="Times New Roman" w:hAnsi="Times New Roman"/>
          <w:color w:val="666666"/>
          <w:sz w:val="18"/>
          <w:szCs w:val="18"/>
        </w:rPr>
        <w:t xml:space="preserve">[25] Nguyen, L. M., Liu, J., Scheinberg, K., &amp; Takáč, M. (2017). SARAH: A novel method for machine learning problems using stochastic recursive gradient. ICML 2017.</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333333"/>
        <w:sz w:val="20"/>
        <w:szCs w:val="20"/>
      </w:rPr>
      <w:t xml:space="preserve">CyphaDIF: Group-Theoretic Analysis  |  Page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r>
      <w:rPr>
        <w:rFonts w:ascii="Times New Roman" w:cs="Times New Roman" w:eastAsia="Times New Roman" w:hAnsi="Times New Roman"/>
        <w:i/>
        <w:iCs/>
        <w:color w:val="666666"/>
        <w:sz w:val="20"/>
        <w:szCs w:val="20"/>
      </w:rPr>
      <w:t xml:space="preserve">  |  Unpublished Technical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A5C"/>
      <w:sz w:val="28"/>
      <w:szCs w:val="28"/>
    </w:rPr>
  </w:style>
  <w:style w:type="paragraph" w:styleId="Heading2">
    <w:name w:val="Heading 2"/>
    <w:basedOn w:val="Normal"/>
    <w:next w:val="Normal"/>
    <w:qFormat/>
    <w:pPr>
      <w:spacing w:before="260" w:after="100"/>
      <w:outlineLvl w:val="1"/>
    </w:pPr>
    <w:rPr>
      <w:rFonts w:ascii="Arial" w:cs="Arial" w:eastAsia="Arial" w:hAnsi="Arial"/>
      <w:b/>
      <w:bCs/>
      <w:color w:val="2E6DA4"/>
      <w:sz w:val="24"/>
      <w:szCs w:val="24"/>
    </w:rPr>
  </w:style>
  <w:style w:type="paragraph" w:styleId="Heading3">
    <w:name w:val="Heading 3"/>
    <w:basedOn w:val="Normal"/>
    <w:next w:val="Normal"/>
    <w:qFormat/>
    <w:pPr>
      <w:spacing w:before="180" w:after="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2026-03-10T06:43:07.143Z</dcterms:created>
  <dcterms:modified xsi:type="dcterms:W3CDTF">2026-03-10T06:43:07.144Z</dcterms:modified>
</cp:coreProperties>
</file>

<file path=docProps/custom.xml><?xml version="1.0" encoding="utf-8"?>
<Properties xmlns="http://schemas.openxmlformats.org/officeDocument/2006/custom-properties" xmlns:vt="http://schemas.openxmlformats.org/officeDocument/2006/docPropsVTypes"/>
</file>