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none" w:color="FFFFFF" w:sz="0"/>
              <w:left w:val="none" w:color="FFFFFF" w:sz="0"/>
              <w:bottom w:val="none" w:color="FFFFFF" w:sz="0"/>
              <w:right w:val="none" w:color="FFFFFF" w:sz="0"/>
            </w:tcBorders>
            <w:shd w:fill="0A1628" w:val="clear"/>
            <w:tcMar>
              <w:top w:type="dxa" w:w="520"/>
              <w:left w:type="dxa" w:w="520"/>
              <w:bottom w:type="dxa" w:w="520"/>
              <w:right w:type="dxa" w:w="520"/>
            </w:tcMar>
          </w:tcPr>
          <w:p>
            <w:pPr>
              <w:spacing w:before="0" w:after="100"/>
              <w:jc w:val="center"/>
            </w:pPr>
            <w:r>
              <w:rPr>
                <w:rFonts w:ascii="Arial" w:cs="Arial" w:eastAsia="Arial" w:hAnsi="Arial"/>
                <w:b/>
                <w:bCs/>
                <w:color w:val="FFFFFF"/>
                <w:sz w:val="42"/>
                <w:szCs w:val="42"/>
              </w:rPr>
              <w:t xml:space="preserve">Stochastic Processes and Markov Chain Analysis</w:t>
            </w:r>
          </w:p>
          <w:p>
            <w:pPr>
              <w:spacing w:before="0" w:after="140"/>
              <w:jc w:val="center"/>
            </w:pPr>
            <w:r>
              <w:rPr>
                <w:rFonts w:ascii="Arial" w:cs="Arial" w:eastAsia="Arial" w:hAnsi="Arial"/>
                <w:b/>
                <w:bCs/>
                <w:color w:val="FFFFFF"/>
                <w:sz w:val="42"/>
                <w:szCs w:val="42"/>
              </w:rPr>
              <w:t xml:space="preserve">of the Differential Information Field Classifier</w:t>
            </w:r>
          </w:p>
          <w:p>
            <w:pPr>
              <w:spacing w:before="0" w:after="90"/>
              <w:jc w:val="center"/>
            </w:pPr>
            <w:r>
              <w:rPr>
                <w:rFonts w:ascii="Arial" w:cs="Arial" w:eastAsia="Arial" w:hAnsi="Arial"/>
                <w:i/>
                <w:iCs/>
                <w:color w:val="A8C4E8"/>
                <w:sz w:val="21"/>
                <w:szCs w:val="21"/>
              </w:rPr>
              <w:t xml:space="preserve">Transition Matrices • Spectral Gaps • MFPT • Detailed Balance • HMM Viterbi • Absorbing Chains • Entropy Rate</w:t>
            </w:r>
          </w:p>
          <w:p>
            <w:pPr>
              <w:spacing w:before="60" w:after="0"/>
              <w:jc w:val="center"/>
            </w:pPr>
            <w:r>
              <w:rPr>
                <w:rFonts w:ascii="Arial" w:cs="Arial" w:eastAsia="Arial" w:hAnsi="Arial"/>
                <w:color w:val="7899CC"/>
                <w:sz w:val="20"/>
                <w:szCs w:val="20"/>
              </w:rPr>
              <w:t xml:space="preserve">Unpublished Technical Report — 2026</w:t>
            </w:r>
          </w:p>
        </w:tc>
      </w:tr>
    </w:tbl>
    <w:p>
      <w:pPr>
        <w:spacing w:before="440" w:after="0"/>
      </w:pPr>
      <w:r>
        <w:rPr>
          <w:rFonts w:ascii="Georgia" w:cs="Georgia" w:eastAsia="Georgia" w:hAnsi="Georgia"/>
          <w:color w:val="1A1A1A"/>
          <w:sz w:val="20"/>
          <w:szCs w:val="20"/>
        </w:rPr>
        <w:t xml:space="preserve"/>
      </w:r>
    </w:p>
    <w:p>
      <w:pPr>
        <w:spacing w:before="0" w:after="80"/>
      </w:pPr>
      <w:r>
        <w:rPr>
          <w:rFonts w:ascii="Arial" w:cs="Arial" w:eastAsia="Arial" w:hAnsi="Arial"/>
          <w:b/>
          <w:bCs/>
          <w:color w:val="0A1628"/>
          <w:sz w:val="24"/>
          <w:szCs w:val="24"/>
        </w:rPr>
        <w:t xml:space="preserve">Abstract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AABBCC" w:sz="1"/>
              <w:left w:val="single" w:color="AABBCC" w:sz="1"/>
              <w:bottom w:val="single" w:color="AABBCC" w:sz="1"/>
              <w:right w:val="single" w:color="AABBCC" w:sz="1"/>
            </w:tcBorders>
            <w:shd w:fill="DCE8F5" w:val="clear"/>
            <w:tcMar>
              <w:top w:type="dxa" w:w="140"/>
              <w:left w:type="dxa" w:w="260"/>
              <w:bottom w:type="dxa" w:w="140"/>
              <w:right w:type="dxa" w:w="260"/>
            </w:tcMar>
          </w:tcPr>
          <w:p>
            <w:pPr>
              <w:spacing w:before="60" w:after="100"/>
              <w:jc w:val="both"/>
            </w:pPr>
            <w:r>
              <w:rPr>
                <w:rFonts w:ascii="Georgia" w:cs="Georgia" w:eastAsia="Georgia" w:hAnsi="Georgia"/>
                <w:color w:val="1A1A1A"/>
                <w:sz w:val="20"/>
                <w:szCs w:val="20"/>
              </w:rPr>
              <w:t xml:space="preserve">We analyse the CyphaDIF classifier through the lens of Markov chain theory and stochastic processes, treating sequences of classifier predictions as realisations of a discrete-time Markov chain. Ten probes are conducted across three traffic scenarios (iid uniform, bursty, and realistic-weighted). Key findings: </w:t>
            </w:r>
            <w:r>
              <w:rPr>
                <w:rFonts w:ascii="Georgia" w:cs="Georgia" w:eastAsia="Georgia" w:hAnsi="Georgia"/>
                <w:b/>
                <w:bCs/>
                <w:color w:val="1A1A1A"/>
                <w:sz w:val="20"/>
                <w:szCs w:val="20"/>
              </w:rPr>
              <w:t xml:space="preserve">(1)</w:t>
            </w:r>
            <w:r>
              <w:rPr>
                <w:rFonts w:ascii="Georgia" w:cs="Georgia" w:eastAsia="Georgia" w:hAnsi="Georgia"/>
                <w:color w:val="1A1A1A"/>
                <w:sz w:val="20"/>
                <w:szCs w:val="20"/>
              </w:rPr>
              <w:t xml:space="preserve"> Under iid input the prediction chain has spectral gap 0.962, implying a mixing time of approximately 1 step — the classifier has no memory of its previous prediction when inputs are independent. </w:t>
            </w:r>
            <w:r>
              <w:rPr>
                <w:rFonts w:ascii="Georgia" w:cs="Georgia" w:eastAsia="Georgia" w:hAnsi="Georgia"/>
                <w:b/>
                <w:bCs/>
                <w:color w:val="1A1A1A"/>
                <w:sz w:val="20"/>
                <w:szCs w:val="20"/>
              </w:rPr>
              <w:t xml:space="preserve">(2)</w:t>
            </w:r>
            <w:r>
              <w:rPr>
                <w:rFonts w:ascii="Georgia" w:cs="Georgia" w:eastAsia="Georgia" w:hAnsi="Georgia"/>
                <w:color w:val="1A1A1A"/>
                <w:sz w:val="20"/>
                <w:szCs w:val="20"/>
              </w:rPr>
              <w:t xml:space="preserve"> Under bursty input the chain spectral gap collapses to 0.018 (mixing time 55 steps), and the diagonal self-transition probabilities rise from ≈0.10 to ≈0.97, demonstrating that the prediction chain faithfully inherits the burstiness of the input traffic. </w:t>
            </w:r>
            <w:r>
              <w:rPr>
                <w:rFonts w:ascii="Georgia" w:cs="Georgia" w:eastAsia="Georgia" w:hAnsi="Georgia"/>
                <w:b/>
                <w:bCs/>
                <w:color w:val="1A1A1A"/>
                <w:sz w:val="20"/>
                <w:szCs w:val="20"/>
              </w:rPr>
              <w:t xml:space="preserve">(3)</w:t>
            </w:r>
            <w:r>
              <w:rPr>
                <w:rFonts w:ascii="Georgia" w:cs="Georgia" w:eastAsia="Georgia" w:hAnsi="Georgia"/>
                <w:color w:val="1A1A1A"/>
                <w:sz w:val="20"/>
                <w:szCs w:val="20"/>
              </w:rPr>
              <w:t xml:space="preserve"> Mean first-passage times are uniformly near K = 10 steps under iid input (expected for a near-uniform chain), with the longest passage (10.88 steps) from log_warn to bin_malware and the shortest (8.84 steps) from log_warn to net_normal. </w:t>
            </w:r>
            <w:r>
              <w:rPr>
                <w:rFonts w:ascii="Georgia" w:cs="Georgia" w:eastAsia="Georgia" w:hAnsi="Georgia"/>
                <w:b/>
                <w:bCs/>
                <w:color w:val="1A1A1A"/>
                <w:sz w:val="20"/>
                <w:szCs w:val="20"/>
              </w:rPr>
              <w:t xml:space="preserve">(4)</w:t>
            </w:r>
            <w:r>
              <w:rPr>
                <w:rFonts w:ascii="Georgia" w:cs="Georgia" w:eastAsia="Georgia" w:hAnsi="Georgia"/>
                <w:color w:val="1A1A1A"/>
                <w:sz w:val="20"/>
                <w:szCs w:val="20"/>
              </w:rPr>
              <w:t xml:space="preserve"> The prediction chain is weakly irreversible: detailed balance is violated at maximum residual 4.6×10⁻³, with net probability currents flowing from binary classes toward network and log classes. </w:t>
            </w:r>
            <w:r>
              <w:rPr>
                <w:rFonts w:ascii="Georgia" w:cs="Georgia" w:eastAsia="Georgia" w:hAnsi="Georgia"/>
                <w:b/>
                <w:bCs/>
                <w:color w:val="1A1A1A"/>
                <w:sz w:val="20"/>
                <w:szCs w:val="20"/>
              </w:rPr>
              <w:t xml:space="preserve">(5)</w:t>
            </w:r>
            <w:r>
              <w:rPr>
                <w:rFonts w:ascii="Georgia" w:cs="Georgia" w:eastAsia="Georgia" w:hAnsi="Georgia"/>
                <w:color w:val="1A1A1A"/>
                <w:sz w:val="20"/>
                <w:szCs w:val="20"/>
              </w:rPr>
              <w:t xml:space="preserve"> Under realistic traffic (60% net_normal) the prediction chain recovers the input distribution to total variation distance TV = 0.015 and KL = 9.3×10⁻⁴, demonstrating that CyphaDIF can serve as an accurate online traffic profiler. </w:t>
            </w:r>
            <w:r>
              <w:rPr>
                <w:rFonts w:ascii="Georgia" w:cs="Georgia" w:eastAsia="Georgia" w:hAnsi="Georgia"/>
                <w:b/>
                <w:bCs/>
                <w:color w:val="1A1A1A"/>
                <w:sz w:val="20"/>
                <w:szCs w:val="20"/>
              </w:rPr>
              <w:t xml:space="preserve">(6)</w:t>
            </w:r>
            <w:r>
              <w:rPr>
                <w:rFonts w:ascii="Georgia" w:cs="Georgia" w:eastAsia="Georgia" w:hAnsi="Georgia"/>
                <w:color w:val="1A1A1A"/>
                <w:sz w:val="20"/>
                <w:szCs w:val="20"/>
              </w:rPr>
              <w:t xml:space="preserve"> The confusion matrix is the identity to four decimal places — the HMM observation kernel is the identity operator — making Viterbi decoding uninformative (raw accuracy already equals 1.0). </w:t>
            </w:r>
            <w:r>
              <w:rPr>
                <w:rFonts w:ascii="Georgia" w:cs="Georgia" w:eastAsia="Georgia" w:hAnsi="Georgia"/>
                <w:b/>
                <w:bCs/>
                <w:color w:val="1A1A1A"/>
                <w:sz w:val="20"/>
                <w:szCs w:val="20"/>
              </w:rPr>
              <w:t xml:space="preserve">(7)</w:t>
            </w:r>
            <w:r>
              <w:rPr>
                <w:rFonts w:ascii="Georgia" w:cs="Georgia" w:eastAsia="Georgia" w:hAnsi="Georgia"/>
                <w:color w:val="1A1A1A"/>
                <w:sz w:val="20"/>
                <w:szCs w:val="20"/>
              </w:rPr>
              <w:t xml:space="preserve"> Under realistic traffic, the expected steps from net_normal to first detection of any attack class is 4.65 steps, with net_scan being the most likely first-detected attack (38% absorption probability). </w:t>
            </w:r>
            <w:r>
              <w:rPr>
                <w:rFonts w:ascii="Georgia" w:cs="Georgia" w:eastAsia="Georgia" w:hAnsi="Georgia"/>
                <w:b/>
                <w:bCs/>
                <w:color w:val="1A1A1A"/>
                <w:sz w:val="20"/>
                <w:szCs w:val="20"/>
              </w:rPr>
              <w:t xml:space="preserve">(8)</w:t>
            </w:r>
            <w:r>
              <w:rPr>
                <w:rFonts w:ascii="Georgia" w:cs="Georgia" w:eastAsia="Georgia" w:hAnsi="Georgia"/>
                <w:color w:val="1A1A1A"/>
                <w:sz w:val="20"/>
                <w:szCs w:val="20"/>
              </w:rPr>
              <w:t xml:space="preserve"> The prediction stream has zero autocorrelation under iid and realistic inputs, but ACF(τ) = λ₂^τ ≈ 0.982^τ under bursty input (mixing time ≈55 steps). The entropy rate is 99.6% of maximum under iid input, dropping to 6.2% under bursty input.</w:t>
            </w:r>
          </w:p>
        </w:tc>
      </w:tr>
    </w:tbl>
    <w:p>
      <w:pPr>
        <w:spacing w:before="2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0A1628"/>
          <w:sz w:val="30"/>
          <w:szCs w:val="30"/>
        </w:rPr>
        <w:t xml:space="preserve">1. Introduction</w:t>
      </w:r>
    </w:p>
    <w:p>
      <w:pPr>
        <w:spacing w:before="60" w:after="100"/>
        <w:jc w:val="both"/>
      </w:pPr>
      <w:r>
        <w:rPr>
          <w:rFonts w:ascii="Georgia" w:cs="Georgia" w:eastAsia="Georgia" w:hAnsi="Georgia"/>
          <w:color w:val="1A1A1A"/>
          <w:sz w:val="20"/>
          <w:szCs w:val="20"/>
        </w:rPr>
        <w:t xml:space="preserve">A deployed intrusion detection system does not classify isolated samples — it classifies streams of network traffic, log events, and binary artefacts that arrive sequentially in time. The statistical structure of these streams (their correlation length, burst statistics, transition dynamics) determines the classifier’s operational performance in ways that single-sample accuracy statistics cannot capture. Markov chain theory provides the natural framework for this analysis.</w:t>
      </w:r>
    </w:p>
    <w:p>
      <w:pPr>
        <w:spacing w:before="60" w:after="100"/>
        <w:jc w:val="both"/>
      </w:pPr>
      <w:r>
        <w:rPr>
          <w:rFonts w:ascii="Georgia" w:cs="Georgia" w:eastAsia="Georgia" w:hAnsi="Georgia"/>
          <w:color w:val="1A1A1A"/>
          <w:sz w:val="20"/>
          <w:szCs w:val="20"/>
        </w:rPr>
        <w:t xml:space="preserve">We model the CyphaDIF prediction stream as a discrete-time Markov chain on the state space of K = 10 traffic classes. This is not an approximation: because CyphaDIF’s inference is memoryless (the prediction at time t depends only on the current input x_t, not on the history), the prediction sequence is always a function of the input sequence. When the input is Markovian, the predictions inherit that Markov structure exactly. When the input is iid, the predictions form an iid sequence (degenerate Markov chain with spectral gap ≈ 1).</w:t>
      </w:r>
    </w:p>
    <w:p>
      <w:pPr>
        <w:spacing w:before="60" w:after="100"/>
        <w:jc w:val="both"/>
      </w:pPr>
      <w:r>
        <w:rPr>
          <w:rFonts w:ascii="Georgia" w:cs="Georgia" w:eastAsia="Georgia" w:hAnsi="Georgia"/>
          <w:b/>
          <w:bCs/>
          <w:color w:val="1A1A1A"/>
          <w:sz w:val="20"/>
          <w:szCs w:val="20"/>
        </w:rPr>
        <w:t xml:space="preserve">Structure. </w:t>
      </w:r>
      <w:r>
        <w:rPr>
          <w:rFonts w:ascii="Georgia" w:cs="Georgia" w:eastAsia="Georgia" w:hAnsi="Georgia"/>
          <w:color w:val="1A1A1A"/>
          <w:sz w:val="20"/>
          <w:szCs w:val="20"/>
        </w:rPr>
        <w:t xml:space="preserve">Ten probes are conducted across three traffic scenarios. Section 2 defines the framework. Sections 3–12 present the probes. Section 13 synthesises the findings and identifies operational implications.</w:t>
      </w:r>
    </w:p>
    <w:p>
      <w:pPr>
        <w:spacing w:before="1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0A1628"/>
          <w:sz w:val="30"/>
          <w:szCs w:val="30"/>
        </w:rPr>
        <w:t xml:space="preserve">2. Framework and Traffic Scenarios</w:t>
      </w:r>
    </w:p>
    <w:p>
      <w:pPr>
        <w:pStyle w:val="Heading2"/>
        <w:spacing w:before="280" w:after="120"/>
      </w:pPr>
      <w:r>
        <w:rPr>
          <w:rFonts w:ascii="Arial" w:cs="Arial" w:eastAsia="Arial" w:hAnsi="Arial"/>
          <w:b/>
          <w:bCs/>
          <w:color w:val="1A3A6B"/>
          <w:sz w:val="25"/>
          <w:szCs w:val="25"/>
        </w:rPr>
        <w:t xml:space="preserve">2.1 The Prediction Markov Chain</w:t>
      </w:r>
    </w:p>
    <w:p>
      <w:pPr>
        <w:spacing w:before="60" w:after="100"/>
        <w:jc w:val="both"/>
      </w:pPr>
      <w:r>
        <w:rPr>
          <w:rFonts w:ascii="Georgia" w:cs="Georgia" w:eastAsia="Georgia" w:hAnsi="Georgia"/>
          <w:color w:val="1A1A1A"/>
          <w:sz w:val="20"/>
          <w:szCs w:val="20"/>
        </w:rPr>
        <w:t xml:space="preserve">Let p_t denote the classifier’s prediction at time t and y_t the true label. The empirical transition matrix is: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AABBCC" w:sz="1"/>
              <w:left w:val="single" w:color="AABBCC" w:sz="1"/>
              <w:bottom w:val="single" w:color="AABBCC" w:sz="1"/>
              <w:right w:val="single" w:color="AABBCC" w:sz="1"/>
            </w:tcBorders>
            <w:shd w:fill="060E1A" w:val="clear"/>
            <w:tcMar>
              <w:top w:type="dxa" w:w="120"/>
              <w:left w:type="dxa" w:w="220"/>
              <w:bottom w:type="dxa" w:w="120"/>
              <w:right w:type="dxa" w:w="220"/>
            </w:tcMar>
          </w:tcPr>
          <w:p>
            <w:pPr>
              <w:spacing w:before="14" w:after="14"/>
            </w:pPr>
            <w:r>
              <w:rPr>
                <w:rFonts w:ascii="Courier New" w:cs="Courier New" w:eastAsia="Courier New" w:hAnsi="Courier New"/>
                <w:color w:val="70A8E8"/>
                <w:sz w:val="17"/>
                <w:szCs w:val="17"/>
              </w:rPr>
              <w:t xml:space="preserve">P[i, j] = P(p_{t+1} = j | p_t = i)</w:t>
            </w:r>
          </w:p>
          <w:p>
            <w:pPr>
              <w:spacing w:before="14" w:after="14"/>
            </w:pPr>
            <w:r>
              <w:rPr>
                <w:rFonts w:ascii="Courier New" w:cs="Courier New" w:eastAsia="Courier New" w:hAnsi="Courier New"/>
                <w:color w:val="70A8E8"/>
                <w:sz w:val="17"/>
                <w:szCs w:val="17"/>
              </w:rPr>
              <w:t xml:space="preserve">         = N_{ij} / N_i</w:t>
            </w:r>
          </w:p>
          <w:p>
            <w:pPr>
              <w:spacing w:before="14" w:after="14"/>
            </w:pPr>
            <w:r>
              <w:rPr>
                <w:rFonts w:ascii="Courier New" w:cs="Courier New" w:eastAsia="Courier New" w:hAnsi="Courier New"/>
                <w:color w:val="70A8E8"/>
                <w:sz w:val="17"/>
                <w:szCs w:val="17"/>
              </w:rPr>
              <w:t xml:space="preserve"/>
            </w:r>
          </w:p>
          <w:p>
            <w:pPr>
              <w:spacing w:before="14" w:after="14"/>
            </w:pPr>
            <w:r>
              <w:rPr>
                <w:rFonts w:ascii="Courier New" w:cs="Courier New" w:eastAsia="Courier New" w:hAnsi="Courier New"/>
                <w:color w:val="70A8E8"/>
                <w:sz w:val="17"/>
                <w:szCs w:val="17"/>
              </w:rPr>
              <w:t xml:space="preserve">where N_{ij} = #{t : p_t = i, p_{t+1} = j}</w:t>
            </w:r>
          </w:p>
          <w:p>
            <w:pPr>
              <w:spacing w:before="14" w:after="14"/>
            </w:pPr>
            <w:r>
              <w:rPr>
                <w:rFonts w:ascii="Courier New" w:cs="Courier New" w:eastAsia="Courier New" w:hAnsi="Courier New"/>
                <w:color w:val="70A8E8"/>
                <w:sz w:val="17"/>
                <w:szCs w:val="17"/>
              </w:rPr>
              <w:t xml:space="preserve">      N_i   = #{t : p_t = i}</w:t>
            </w:r>
          </w:p>
        </w:tc>
      </w:tr>
    </w:tbl>
    <w:p>
      <w:pPr>
        <w:spacing w:before="60" w:after="100"/>
        <w:jc w:val="both"/>
      </w:pPr>
      <w:r>
        <w:rPr>
          <w:rFonts w:ascii="Georgia" w:cs="Georgia" w:eastAsia="Georgia" w:hAnsi="Georgia"/>
          <w:color w:val="1A1A1A"/>
          <w:sz w:val="20"/>
          <w:szCs w:val="20"/>
        </w:rPr>
        <w:t xml:space="preserve">For a Markov chain with transition matrix P and stationary distribution π, the key quantities are: spectral gap γ = 1 − |λ₂| (where λ₂ is the second-largest eigenvalue by modulus); mixing time τ ≈ 1/γ; mean first-passage times M_{ij} computed from the fundamental matrix Z = (I − P + Π)⁻¹; and entropy rate h = −Σ_{i,j} π_i P_{ij} ln P_{ij}.</w:t>
      </w:r>
    </w:p>
    <w:p>
      <w:pPr>
        <w:pStyle w:val="Heading2"/>
        <w:spacing w:before="280" w:after="120"/>
      </w:pPr>
      <w:r>
        <w:rPr>
          <w:rFonts w:ascii="Arial" w:cs="Arial" w:eastAsia="Arial" w:hAnsi="Arial"/>
          <w:b/>
          <w:bCs/>
          <w:color w:val="1A3A6B"/>
          <w:sz w:val="25"/>
          <w:szCs w:val="25"/>
        </w:rPr>
        <w:t xml:space="preserve">2.2 Traffic Scenarios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3600"/>
      </w:tblGrid>
      <w:tr>
        <w:trPr>
          <w:tblHeader/>
        </w:trPr>
        <w:tc>
          <w:tcPr>
            <w:tcW w:type="dxa" w:w="1600"/>
            <w:tcBorders>
              <w:top w:val="single" w:color="AABBCC" w:sz="1"/>
              <w:left w:val="single" w:color="AABBCC" w:sz="1"/>
              <w:bottom w:val="single" w:color="AABBCC" w:sz="1"/>
              <w:right w:val="single" w:color="AABBCC" w:sz="1"/>
            </w:tcBorders>
            <w:shd w:fill="0A1628" w:val="clear"/>
            <w:tcMar>
              <w:top w:type="dxa" w:w="60"/>
              <w:left w:type="dxa" w:w="110"/>
              <w:bottom w:type="dxa" w:w="60"/>
              <w:right w:type="dxa" w:w="110"/>
            </w:tcMar>
          </w:tcPr>
          <w:p>
            <w:pPr>
              <w:jc w:val="left"/>
            </w:pPr>
            <w:r>
              <w:rPr>
                <w:rFonts w:ascii="Arial" w:cs="Arial" w:eastAsia="Arial" w:hAnsi="Arial"/>
                <w:b/>
                <w:bCs/>
                <w:color w:val="FFFFFF"/>
                <w:sz w:val="18"/>
                <w:szCs w:val="18"/>
              </w:rPr>
              <w:t xml:space="preserve">Scenario</w:t>
            </w:r>
          </w:p>
        </w:tc>
        <w:tc>
          <w:tcPr>
            <w:tcW w:type="dxa" w:w="4000"/>
            <w:tcBorders>
              <w:top w:val="single" w:color="AABBCC" w:sz="1"/>
              <w:left w:val="single" w:color="AABBCC" w:sz="1"/>
              <w:bottom w:val="single" w:color="AABBCC" w:sz="1"/>
              <w:right w:val="single" w:color="AABBCC" w:sz="1"/>
            </w:tcBorders>
            <w:shd w:fill="0A1628" w:val="clear"/>
            <w:tcMar>
              <w:top w:type="dxa" w:w="60"/>
              <w:left w:type="dxa" w:w="110"/>
              <w:bottom w:type="dxa" w:w="60"/>
              <w:right w:type="dxa" w:w="110"/>
            </w:tcMar>
          </w:tcPr>
          <w:p>
            <w:pPr>
              <w:jc w:val="left"/>
            </w:pPr>
            <w:r>
              <w:rPr>
                <w:rFonts w:ascii="Arial" w:cs="Arial" w:eastAsia="Arial" w:hAnsi="Arial"/>
                <w:b/>
                <w:bCs/>
                <w:color w:val="FFFFFF"/>
                <w:sz w:val="18"/>
                <w:szCs w:val="18"/>
              </w:rPr>
              <w:t xml:space="preserve">Description</w:t>
            </w:r>
          </w:p>
        </w:tc>
        <w:tc>
          <w:tcPr>
            <w:tcW w:type="dxa" w:w="3600"/>
            <w:tcBorders>
              <w:top w:val="single" w:color="AABBCC" w:sz="1"/>
              <w:left w:val="single" w:color="AABBCC" w:sz="1"/>
              <w:bottom w:val="single" w:color="AABBCC" w:sz="1"/>
              <w:right w:val="single" w:color="AABBCC" w:sz="1"/>
            </w:tcBorders>
            <w:shd w:fill="0A1628" w:val="clear"/>
            <w:tcMar>
              <w:top w:type="dxa" w:w="60"/>
              <w:left w:type="dxa" w:w="110"/>
              <w:bottom w:type="dxa" w:w="60"/>
              <w:right w:type="dxa" w:w="110"/>
            </w:tcMar>
          </w:tcPr>
          <w:p>
            <w:pPr>
              <w:jc w:val="left"/>
            </w:pPr>
            <w:r>
              <w:rPr>
                <w:rFonts w:ascii="Arial" w:cs="Arial" w:eastAsia="Arial" w:hAnsi="Arial"/>
                <w:b/>
                <w:bCs/>
                <w:color w:val="FFFFFF"/>
                <w:sz w:val="18"/>
                <w:szCs w:val="18"/>
              </w:rPr>
              <w:t xml:space="preserve">Key parameters</w:t>
            </w:r>
          </w:p>
        </w:tc>
      </w:tr>
      <w:tr>
        <w:trPr>
          <w:tblHeader w:val="false"/>
        </w:trPr>
        <w:tc>
          <w:tcPr>
            <w:tcW w:type="dxa" w:w="16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iid uniform</w:t>
            </w:r>
          </w:p>
        </w:tc>
        <w:tc>
          <w:tcPr>
            <w:tcW w:type="dxa" w:w="40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Each sample drawn independently from Uniform{classes}</w:t>
            </w:r>
          </w:p>
        </w:tc>
        <w:tc>
          <w:tcPr>
            <w:tcW w:type="dxa" w:w="36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P(class) = 1/K = 0.1 each; no temporal correlation</w:t>
            </w:r>
          </w:p>
        </w:tc>
      </w:tr>
      <w:tr>
        <w:trPr>
          <w:tblHeader w:val="false"/>
        </w:trPr>
        <w:tc>
          <w:tcPr>
            <w:tcW w:type="dxa" w:w="16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Bursty</w:t>
            </w:r>
          </w:p>
        </w:tc>
        <w:tc>
          <w:tcPr>
            <w:tcW w:type="dxa" w:w="40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Random class runs of length Uniform[15,70]</w:t>
            </w:r>
          </w:p>
        </w:tc>
        <w:tc>
          <w:tcPr>
            <w:tcW w:type="dxa" w:w="36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Mean burst = 42.5 steps; simulates sustained attack traffic</w:t>
            </w:r>
          </w:p>
        </w:tc>
      </w:tr>
      <w:tr>
        <w:trPr>
          <w:tblHeader w:val="false"/>
        </w:trPr>
        <w:tc>
          <w:tcPr>
            <w:tcW w:type="dxa" w:w="16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Realistic</w:t>
            </w:r>
          </w:p>
        </w:tc>
        <w:tc>
          <w:tcPr>
            <w:tcW w:type="dxa" w:w="40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Weighted mixture: 60% normal, 8% log_info, 5% each scan/warn, etc.</w:t>
            </w:r>
          </w:p>
        </w:tc>
        <w:tc>
          <w:tcPr>
            <w:tcW w:type="dxa" w:w="36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P = [0.60,0.08,0.05,0.04,0.03,0.08,0.05,0.04,0.02,0.01]</w:t>
            </w:r>
          </w:p>
        </w:tc>
      </w:tr>
    </w:tbl>
    <w:p>
      <w:pPr>
        <w:spacing w:before="20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0A1628"/>
          <w:sz w:val="30"/>
          <w:szCs w:val="30"/>
        </w:rPr>
        <w:t xml:space="preserve">3. Prediction Markov Chain Under iid Input</w:t>
      </w:r>
    </w:p>
    <w:p>
      <w:pPr>
        <w:pStyle w:val="Heading2"/>
        <w:spacing w:before="280" w:after="120"/>
      </w:pPr>
      <w:r>
        <w:rPr>
          <w:rFonts w:ascii="Arial" w:cs="Arial" w:eastAsia="Arial" w:hAnsi="Arial"/>
          <w:b/>
          <w:bCs/>
          <w:color w:val="1A3A6B"/>
          <w:sz w:val="25"/>
          <w:szCs w:val="25"/>
        </w:rPr>
        <w:t xml:space="preserve">3.1 Spectral Properties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AABBCC" w:sz="1"/>
              <w:left w:val="single" w:color="AABBCC" w:sz="1"/>
              <w:bottom w:val="single" w:color="AABBCC" w:sz="1"/>
              <w:right w:val="single" w:color="AABBCC" w:sz="1"/>
            </w:tcBorders>
            <w:shd w:fill="DCE8F5" w:val="clear"/>
            <w:tcMar>
              <w:top w:type="dxa" w:w="140"/>
              <w:left w:type="dxa" w:w="260"/>
              <w:bottom w:type="dxa" w:w="140"/>
              <w:right w:type="dxa" w:w="260"/>
            </w:tcMar>
          </w:tcPr>
          <w:p>
            <w:pPr>
              <w:spacing w:before="0" w:after="60"/>
            </w:pPr>
            <w:r>
              <w:rPr>
                <w:rFonts w:ascii="Arial" w:cs="Arial" w:eastAsia="Arial" w:hAnsi="Arial"/>
                <w:b/>
                <w:bCs/>
                <w:color w:val="0A1628"/>
                <w:sz w:val="19"/>
                <w:szCs w:val="19"/>
              </w:rPr>
              <w:t xml:space="preserve">Key result</w:t>
            </w:r>
          </w:p>
          <w:p>
            <w:pPr>
              <w:spacing w:before="60" w:after="100"/>
              <w:jc w:val="both"/>
            </w:pPr>
            <w:r>
              <w:rPr>
                <w:rFonts w:ascii="Georgia" w:cs="Georgia" w:eastAsia="Georgia" w:hAnsi="Georgia"/>
                <w:b/>
                <w:bCs/>
                <w:color w:val="1A1A1A"/>
                <w:sz w:val="20"/>
                <w:szCs w:val="20"/>
              </w:rPr>
              <w:t xml:space="preserve">Spectral gap γ = 0.962, λ₂ = 0.038, mixing time ≈ 1 step. </w:t>
            </w:r>
            <w:r>
              <w:rPr>
                <w:rFonts w:ascii="Georgia" w:cs="Georgia" w:eastAsia="Georgia" w:hAnsi="Georgia"/>
                <w:color w:val="1A1A1A"/>
                <w:sz w:val="20"/>
                <w:szCs w:val="20"/>
              </w:rPr>
              <w:t xml:space="preserve">Under iid input, the prediction chain mixes in approximately one step. This is mathematically necessary for a perfect classifier: if p_t = y_t with probability 1.0 and y_t is iid, then p_t is also iid and has spectral gap 1.0. The measured gap of 0.962 (rather than 1.0) reflects the small but non-zero error rate, which introduces weak temporal correlations in the prediction stream.</w:t>
            </w:r>
          </w:p>
        </w:tc>
      </w:tr>
    </w:tbl>
    <w:p>
      <w:pPr>
        <w:spacing w:before="100" w:after="0"/>
      </w:pPr>
      <w:r>
        <w:rPr>
          <w:rFonts w:ascii="Georgia" w:cs="Georgia" w:eastAsia="Georgia" w:hAnsi="Georgia"/>
          <w:color w:val="1A1A1A"/>
          <w:sz w:val="20"/>
          <w:szCs w:val="20"/>
        </w:rPr>
        <w:t xml:space="preserve"/>
      </w:r>
    </w:p>
    <w:p>
      <w:pPr>
        <w:spacing w:before="60" w:after="100"/>
        <w:jc w:val="both"/>
      </w:pPr>
      <w:r>
        <w:rPr>
          <w:rFonts w:ascii="Georgia" w:cs="Georgia" w:eastAsia="Georgia" w:hAnsi="Georgia"/>
          <w:color w:val="1A1A1A"/>
          <w:sz w:val="20"/>
          <w:szCs w:val="20"/>
        </w:rPr>
        <w:t xml:space="preserve">The small second eigenvalue λ₂ = 0.038 quantifies precisely the residual memory introduced by mis-classifications: a wrong prediction p_t ≠ y_t followed by another wrong prediction p_{t+1} ≠ y_{t+1} creates a non-zero off-diagonal transition probability, giving the chain a small but non-zero correlation length of −1/ln(λ₂) ≈ 3.3 steps.</w:t>
      </w:r>
    </w:p>
    <w:p>
      <w:pPr>
        <w:pStyle w:val="Heading2"/>
        <w:spacing w:before="280" w:after="120"/>
      </w:pPr>
      <w:r>
        <w:rPr>
          <w:rFonts w:ascii="Arial" w:cs="Arial" w:eastAsia="Arial" w:hAnsi="Arial"/>
          <w:b/>
          <w:bCs/>
          <w:color w:val="1A3A6B"/>
          <w:sz w:val="25"/>
          <w:szCs w:val="25"/>
        </w:rPr>
        <w:t xml:space="preserve">3.2 Stationary Distribution</w:t>
      </w:r>
    </w:p>
    <w:p>
      <w:pPr>
        <w:spacing w:before="60" w:after="100"/>
        <w:jc w:val="both"/>
      </w:pPr>
      <w:r>
        <w:rPr>
          <w:rFonts w:ascii="Georgia" w:cs="Georgia" w:eastAsia="Georgia" w:hAnsi="Georgia"/>
          <w:color w:val="1A1A1A"/>
          <w:sz w:val="20"/>
          <w:szCs w:val="20"/>
        </w:rPr>
        <w:t xml:space="preserve">Under iid uniform input, the theoretical stationary distribution is π_i = 1/K = 0.1 for all classes. The empirical stationary distribution deviates from uniform by at most max|π_i − 1/K| = 0.0074 (for net_normal and bin_malware, which are slightly over- and under-represented respectively). This 0.74% maximum deviation is consistent with sampling noise over 5,000 steps and confirms the chain’s stationarity.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200"/>
        <w:gridCol w:w="2800"/>
      </w:tblGrid>
      <w:tr>
        <w:trPr>
          <w:tblHeader/>
        </w:trPr>
        <w:tc>
          <w:tcPr>
            <w:tcW w:type="dxa" w:w="2200"/>
            <w:tcBorders>
              <w:top w:val="single" w:color="AABBCC" w:sz="1"/>
              <w:left w:val="single" w:color="AABBCC" w:sz="1"/>
              <w:bottom w:val="single" w:color="AABBCC" w:sz="1"/>
              <w:right w:val="single" w:color="AABBCC" w:sz="1"/>
            </w:tcBorders>
            <w:shd w:fill="0A1628" w:val="clear"/>
            <w:tcMar>
              <w:top w:type="dxa" w:w="60"/>
              <w:left w:type="dxa" w:w="110"/>
              <w:bottom w:type="dxa" w:w="60"/>
              <w:right w:type="dxa" w:w="110"/>
            </w:tcMar>
          </w:tcPr>
          <w:p>
            <w:pPr>
              <w:jc w:val="left"/>
            </w:pPr>
            <w:r>
              <w:rPr>
                <w:rFonts w:ascii="Arial" w:cs="Arial" w:eastAsia="Arial" w:hAnsi="Arial"/>
                <w:b/>
                <w:bCs/>
                <w:color w:val="FFFFFF"/>
                <w:sz w:val="18"/>
                <w:szCs w:val="18"/>
              </w:rPr>
              <w:t xml:space="preserve">Class</w:t>
            </w:r>
          </w:p>
        </w:tc>
        <w:tc>
          <w:tcPr>
            <w:tcW w:type="dxa" w:w="2000"/>
            <w:tcBorders>
              <w:top w:val="single" w:color="AABBCC" w:sz="1"/>
              <w:left w:val="single" w:color="AABBCC" w:sz="1"/>
              <w:bottom w:val="single" w:color="AABBCC" w:sz="1"/>
              <w:right w:val="single" w:color="AABBCC" w:sz="1"/>
            </w:tcBorders>
            <w:shd w:fill="0A1628" w:val="clear"/>
            <w:tcMar>
              <w:top w:type="dxa" w:w="60"/>
              <w:left w:type="dxa" w:w="110"/>
              <w:bottom w:type="dxa" w:w="60"/>
              <w:right w:type="dxa" w:w="110"/>
            </w:tcMar>
          </w:tcPr>
          <w:p>
            <w:pPr>
              <w:jc w:val="left"/>
            </w:pPr>
            <w:r>
              <w:rPr>
                <w:rFonts w:ascii="Arial" w:cs="Arial" w:eastAsia="Arial" w:hAnsi="Arial"/>
                <w:b/>
                <w:bCs/>
                <w:color w:val="FFFFFF"/>
                <w:sz w:val="18"/>
                <w:szCs w:val="18"/>
              </w:rPr>
              <w:t xml:space="preserve">π_i (measured)</w:t>
            </w:r>
          </w:p>
        </w:tc>
        <w:tc>
          <w:tcPr>
            <w:tcW w:type="dxa" w:w="2200"/>
            <w:tcBorders>
              <w:top w:val="single" w:color="AABBCC" w:sz="1"/>
              <w:left w:val="single" w:color="AABBCC" w:sz="1"/>
              <w:bottom w:val="single" w:color="AABBCC" w:sz="1"/>
              <w:right w:val="single" w:color="AABBCC" w:sz="1"/>
            </w:tcBorders>
            <w:shd w:fill="0A1628" w:val="clear"/>
            <w:tcMar>
              <w:top w:type="dxa" w:w="60"/>
              <w:left w:type="dxa" w:w="110"/>
              <w:bottom w:type="dxa" w:w="60"/>
              <w:right w:type="dxa" w:w="110"/>
            </w:tcMar>
          </w:tcPr>
          <w:p>
            <w:pPr>
              <w:jc w:val="left"/>
            </w:pPr>
            <w:r>
              <w:rPr>
                <w:rFonts w:ascii="Arial" w:cs="Arial" w:eastAsia="Arial" w:hAnsi="Arial"/>
                <w:b/>
                <w:bCs/>
                <w:color w:val="FFFFFF"/>
                <w:sz w:val="18"/>
                <w:szCs w:val="18"/>
              </w:rPr>
              <w:t xml:space="preserve">Deviation from 1/K</w:t>
            </w:r>
          </w:p>
        </w:tc>
        <w:tc>
          <w:tcPr>
            <w:tcW w:type="dxa" w:w="2800"/>
            <w:tcBorders>
              <w:top w:val="single" w:color="AABBCC" w:sz="1"/>
              <w:left w:val="single" w:color="AABBCC" w:sz="1"/>
              <w:bottom w:val="single" w:color="AABBCC" w:sz="1"/>
              <w:right w:val="single" w:color="AABBCC" w:sz="1"/>
            </w:tcBorders>
            <w:shd w:fill="0A1628" w:val="clear"/>
            <w:tcMar>
              <w:top w:type="dxa" w:w="60"/>
              <w:left w:type="dxa" w:w="110"/>
              <w:bottom w:type="dxa" w:w="60"/>
              <w:right w:type="dxa" w:w="110"/>
            </w:tcMar>
          </w:tcPr>
          <w:p>
            <w:pPr>
              <w:jc w:val="left"/>
            </w:pPr>
            <w:r>
              <w:rPr>
                <w:rFonts w:ascii="Arial" w:cs="Arial" w:eastAsia="Arial" w:hAnsi="Arial"/>
                <w:b/>
                <w:bCs/>
                <w:color w:val="FFFFFF"/>
                <w:sz w:val="18"/>
                <w:szCs w:val="18"/>
              </w:rPr>
              <w:t xml:space="preserve">P[i,i] (self-transition)</w:t>
            </w:r>
          </w:p>
        </w:tc>
      </w:tr>
      <w:tr>
        <w:trPr>
          <w:tblHeader w:val="false"/>
        </w:trPr>
        <w:tc>
          <w:tcPr>
            <w:tcW w:type="dxa" w:w="22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net_normal</w:t>
            </w:r>
          </w:p>
        </w:tc>
        <w:tc>
          <w:tcPr>
            <w:tcW w:type="dxa" w:w="20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0.1074</w:t>
            </w:r>
          </w:p>
        </w:tc>
        <w:tc>
          <w:tcPr>
            <w:tcW w:type="dxa" w:w="22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+0.0074</w:t>
            </w:r>
          </w:p>
        </w:tc>
        <w:tc>
          <w:tcPr>
            <w:tcW w:type="dxa" w:w="28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0.0819</w:t>
            </w:r>
          </w:p>
        </w:tc>
      </w:tr>
      <w:tr>
        <w:trPr>
          <w:tblHeader w:val="false"/>
        </w:trPr>
        <w:tc>
          <w:tcPr>
            <w:tcW w:type="dxa" w:w="22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net_scan</w:t>
            </w:r>
          </w:p>
        </w:tc>
        <w:tc>
          <w:tcPr>
            <w:tcW w:type="dxa" w:w="20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0.1028</w:t>
            </w:r>
          </w:p>
        </w:tc>
        <w:tc>
          <w:tcPr>
            <w:tcW w:type="dxa" w:w="22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+0.0028</w:t>
            </w:r>
          </w:p>
        </w:tc>
        <w:tc>
          <w:tcPr>
            <w:tcW w:type="dxa" w:w="28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0.1089</w:t>
            </w:r>
          </w:p>
        </w:tc>
      </w:tr>
      <w:tr>
        <w:trPr>
          <w:tblHeader w:val="false"/>
        </w:trPr>
        <w:tc>
          <w:tcPr>
            <w:tcW w:type="dxa" w:w="22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net_ddos</w:t>
            </w:r>
          </w:p>
        </w:tc>
        <w:tc>
          <w:tcPr>
            <w:tcW w:type="dxa" w:w="20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0.0992</w:t>
            </w:r>
          </w:p>
        </w:tc>
        <w:tc>
          <w:tcPr>
            <w:tcW w:type="dxa" w:w="22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−0.0008</w:t>
            </w:r>
          </w:p>
        </w:tc>
        <w:tc>
          <w:tcPr>
            <w:tcW w:type="dxa" w:w="28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0.1107</w:t>
            </w:r>
          </w:p>
        </w:tc>
      </w:tr>
      <w:tr>
        <w:trPr>
          <w:tblHeader w:val="false"/>
        </w:trPr>
        <w:tc>
          <w:tcPr>
            <w:tcW w:type="dxa" w:w="22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net_exfil</w:t>
            </w:r>
          </w:p>
        </w:tc>
        <w:tc>
          <w:tcPr>
            <w:tcW w:type="dxa" w:w="20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0.1002</w:t>
            </w:r>
          </w:p>
        </w:tc>
        <w:tc>
          <w:tcPr>
            <w:tcW w:type="dxa" w:w="22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+0.0002</w:t>
            </w:r>
          </w:p>
        </w:tc>
        <w:tc>
          <w:tcPr>
            <w:tcW w:type="dxa" w:w="28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0.1098</w:t>
            </w:r>
          </w:p>
        </w:tc>
      </w:tr>
      <w:tr>
        <w:trPr>
          <w:tblHeader w:val="false"/>
        </w:trPr>
        <w:tc>
          <w:tcPr>
            <w:tcW w:type="dxa" w:w="22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net_c2</w:t>
            </w:r>
          </w:p>
        </w:tc>
        <w:tc>
          <w:tcPr>
            <w:tcW w:type="dxa" w:w="20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0.0990</w:t>
            </w:r>
          </w:p>
        </w:tc>
        <w:tc>
          <w:tcPr>
            <w:tcW w:type="dxa" w:w="22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−0.0010</w:t>
            </w:r>
          </w:p>
        </w:tc>
        <w:tc>
          <w:tcPr>
            <w:tcW w:type="dxa" w:w="28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0.0869</w:t>
            </w:r>
          </w:p>
        </w:tc>
      </w:tr>
      <w:tr>
        <w:trPr>
          <w:tblHeader w:val="false"/>
        </w:trPr>
        <w:tc>
          <w:tcPr>
            <w:tcW w:type="dxa" w:w="22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log_info</w:t>
            </w:r>
          </w:p>
        </w:tc>
        <w:tc>
          <w:tcPr>
            <w:tcW w:type="dxa" w:w="20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0.0982</w:t>
            </w:r>
          </w:p>
        </w:tc>
        <w:tc>
          <w:tcPr>
            <w:tcW w:type="dxa" w:w="22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−0.0018</w:t>
            </w:r>
          </w:p>
        </w:tc>
        <w:tc>
          <w:tcPr>
            <w:tcW w:type="dxa" w:w="28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0.0896</w:t>
            </w:r>
          </w:p>
        </w:tc>
      </w:tr>
      <w:tr>
        <w:trPr>
          <w:tblHeader w:val="false"/>
        </w:trPr>
        <w:tc>
          <w:tcPr>
            <w:tcW w:type="dxa" w:w="22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log_warn</w:t>
            </w:r>
          </w:p>
        </w:tc>
        <w:tc>
          <w:tcPr>
            <w:tcW w:type="dxa" w:w="20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0.0954</w:t>
            </w:r>
          </w:p>
        </w:tc>
        <w:tc>
          <w:tcPr>
            <w:tcW w:type="dxa" w:w="22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−0.0046</w:t>
            </w:r>
          </w:p>
        </w:tc>
        <w:tc>
          <w:tcPr>
            <w:tcW w:type="dxa" w:w="28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0.0755</w:t>
            </w:r>
          </w:p>
        </w:tc>
      </w:tr>
      <w:tr>
        <w:trPr>
          <w:tblHeader w:val="false"/>
        </w:trPr>
        <w:tc>
          <w:tcPr>
            <w:tcW w:type="dxa" w:w="22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log_error</w:t>
            </w:r>
          </w:p>
        </w:tc>
        <w:tc>
          <w:tcPr>
            <w:tcW w:type="dxa" w:w="20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0.1052</w:t>
            </w:r>
          </w:p>
        </w:tc>
        <w:tc>
          <w:tcPr>
            <w:tcW w:type="dxa" w:w="22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+0.0052</w:t>
            </w:r>
          </w:p>
        </w:tc>
        <w:tc>
          <w:tcPr>
            <w:tcW w:type="dxa" w:w="28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0.1198</w:t>
            </w:r>
          </w:p>
        </w:tc>
      </w:tr>
      <w:tr>
        <w:trPr>
          <w:tblHeader w:val="false"/>
        </w:trPr>
        <w:tc>
          <w:tcPr>
            <w:tcW w:type="dxa" w:w="22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bin_malware</w:t>
            </w:r>
          </w:p>
        </w:tc>
        <w:tc>
          <w:tcPr>
            <w:tcW w:type="dxa" w:w="20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0.0926</w:t>
            </w:r>
          </w:p>
        </w:tc>
        <w:tc>
          <w:tcPr>
            <w:tcW w:type="dxa" w:w="22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−0.0074</w:t>
            </w:r>
          </w:p>
        </w:tc>
        <w:tc>
          <w:tcPr>
            <w:tcW w:type="dxa" w:w="28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0.0864</w:t>
            </w:r>
          </w:p>
        </w:tc>
      </w:tr>
      <w:tr>
        <w:trPr>
          <w:tblHeader w:val="false"/>
        </w:trPr>
        <w:tc>
          <w:tcPr>
            <w:tcW w:type="dxa" w:w="22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bin_benign</w:t>
            </w:r>
          </w:p>
        </w:tc>
        <w:tc>
          <w:tcPr>
            <w:tcW w:type="dxa" w:w="20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0.0998</w:t>
            </w:r>
          </w:p>
        </w:tc>
        <w:tc>
          <w:tcPr>
            <w:tcW w:type="dxa" w:w="22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−0.0002</w:t>
            </w:r>
          </w:p>
        </w:tc>
        <w:tc>
          <w:tcPr>
            <w:tcW w:type="dxa" w:w="28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0.1245</w:t>
            </w:r>
          </w:p>
        </w:tc>
      </w:tr>
    </w:tbl>
    <w:p>
      <w:pPr>
        <w:spacing w:before="120" w:after="0"/>
      </w:pPr>
      <w:r>
        <w:rPr>
          <w:rFonts w:ascii="Georgia" w:cs="Georgia" w:eastAsia="Georgia" w:hAnsi="Georgia"/>
          <w:color w:val="1A1A1A"/>
          <w:sz w:val="20"/>
          <w:szCs w:val="20"/>
        </w:rPr>
        <w:t xml:space="preserve"/>
      </w:r>
    </w:p>
    <w:p>
      <w:pPr>
        <w:spacing w:before="60" w:after="100"/>
        <w:jc w:val="both"/>
      </w:pPr>
      <w:r>
        <w:rPr>
          <w:rFonts w:ascii="Georgia" w:cs="Georgia" w:eastAsia="Georgia" w:hAnsi="Georgia"/>
          <w:b/>
          <w:bCs/>
          <w:color w:val="1A1A1A"/>
          <w:sz w:val="20"/>
          <w:szCs w:val="20"/>
        </w:rPr>
        <w:t xml:space="preserve">Self-transition probabilities P[i,i] are near π_i (baseline), not elevated. </w:t>
      </w:r>
      <w:r>
        <w:rPr>
          <w:rFonts w:ascii="Georgia" w:cs="Georgia" w:eastAsia="Georgia" w:hAnsi="Georgia"/>
          <w:color w:val="1A1A1A"/>
          <w:sz w:val="20"/>
          <w:szCs w:val="20"/>
        </w:rPr>
        <w:t xml:space="preserve">For an iid prediction chain, the self-transition probability P[i,i] should equal π_i (the probability of being in state i on the next step, given no memory). The measured P[i,i] values are consistent with this baseline, confirming that the prediction chain has no ‘stickiness’ (no tendency to stay in the same class beyond what is explained by the stationary distribution). The slight elevation of P[bin_benign, bin_benign] = 0.1245 vs π = 0.0998 reflects a small residual confusion with bin_malware: when the classifier makes the rare error on a bin_benign sample, the corrected prediction on the next sample is more likely to return to bin_benign.</w:t>
      </w:r>
    </w:p>
    <w:p>
      <w:pPr>
        <w:spacing w:before="1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0A1628"/>
          <w:sz w:val="30"/>
          <w:szCs w:val="30"/>
        </w:rPr>
        <w:t xml:space="preserve">4. Bursty Traffic: Spectral Collapse and Persistence</w:t>
      </w:r>
    </w:p>
    <w:p>
      <w:pPr>
        <w:pStyle w:val="Heading2"/>
        <w:spacing w:before="280" w:after="120"/>
      </w:pPr>
      <w:r>
        <w:rPr>
          <w:rFonts w:ascii="Arial" w:cs="Arial" w:eastAsia="Arial" w:hAnsi="Arial"/>
          <w:b/>
          <w:bCs/>
          <w:color w:val="1A3A6B"/>
          <w:sz w:val="25"/>
          <w:szCs w:val="25"/>
        </w:rPr>
        <w:t xml:space="preserve">4.1 Spectral Gap Collapse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AABBCC" w:sz="1"/>
              <w:left w:val="single" w:color="AABBCC" w:sz="1"/>
              <w:bottom w:val="single" w:color="AABBCC" w:sz="1"/>
              <w:right w:val="single" w:color="AABBCC" w:sz="1"/>
            </w:tcBorders>
            <w:shd w:fill="DCE8F5" w:val="clear"/>
            <w:tcMar>
              <w:top w:type="dxa" w:w="140"/>
              <w:left w:type="dxa" w:w="260"/>
              <w:bottom w:type="dxa" w:w="140"/>
              <w:right w:type="dxa" w:w="260"/>
            </w:tcMar>
          </w:tcPr>
          <w:p>
            <w:pPr>
              <w:spacing w:before="0" w:after="60"/>
            </w:pPr>
            <w:r>
              <w:rPr>
                <w:rFonts w:ascii="Arial" w:cs="Arial" w:eastAsia="Arial" w:hAnsi="Arial"/>
                <w:b/>
                <w:bCs/>
                <w:color w:val="0A1628"/>
                <w:sz w:val="19"/>
                <w:szCs w:val="19"/>
              </w:rPr>
              <w:t xml:space="preserve">Striking result</w:t>
            </w:r>
          </w:p>
          <w:p>
            <w:pPr>
              <w:spacing w:before="60" w:after="100"/>
              <w:jc w:val="both"/>
            </w:pPr>
            <w:r>
              <w:rPr>
                <w:rFonts w:ascii="Georgia" w:cs="Georgia" w:eastAsia="Georgia" w:hAnsi="Georgia"/>
                <w:b/>
                <w:bCs/>
                <w:color w:val="1A1A1A"/>
                <w:sz w:val="20"/>
                <w:szCs w:val="20"/>
              </w:rPr>
              <w:t xml:space="preserve">Under bursty input, the prediction chain spectral gap collapses from 0.962 to 0.018 — a 52× reduction — and the mixing time increases from 1 to 55 steps. The prediction chain spectral gap is identical to the true-label chain spectral gap (ratio = 1.0000 to six decimal places), establishing that the classifier transmits the temporal correlation structure of the input without amplification or attenuation.</w:t>
            </w:r>
          </w:p>
        </w:tc>
      </w:tr>
    </w:tbl>
    <w:p>
      <w:pPr>
        <w:spacing w:before="100" w:after="0"/>
      </w:pPr>
      <w:r>
        <w:rPr>
          <w:rFonts w:ascii="Georgia" w:cs="Georgia" w:eastAsia="Georgia" w:hAnsi="Georgia"/>
          <w:color w:val="1A1A1A"/>
          <w:sz w:val="20"/>
          <w:szCs w:val="20"/>
        </w:rPr>
        <w:t xml:space="preserve"/>
      </w:r>
    </w:p>
    <w:p>
      <w:pPr>
        <w:spacing w:before="60" w:after="100"/>
        <w:jc w:val="both"/>
      </w:pPr>
      <w:r>
        <w:rPr>
          <w:rFonts w:ascii="Georgia" w:cs="Georgia" w:eastAsia="Georgia" w:hAnsi="Georgia"/>
          <w:color w:val="1A1A1A"/>
          <w:sz w:val="20"/>
          <w:szCs w:val="20"/>
        </w:rPr>
        <w:t xml:space="preserve">This result has a direct information-theoretic interpretation: the mutual information I(p_t; p_{t+τ}) between predictions separated by τ steps decays as λ₂^{2τ} ≈ 0.982^{2τ}. At lag τ = 35 steps, I(p_t; p_{t+35}) ≈ 0.982^{70} ≈ 0.28 — still substantial. The prediction stream retains memory of its current class for over 30 steps, matching the average burst length of ≈42 steps.</w:t>
      </w:r>
    </w:p>
    <w:p>
      <w:pPr>
        <w:pStyle w:val="Heading2"/>
        <w:spacing w:before="280" w:after="120"/>
      </w:pPr>
      <w:r>
        <w:rPr>
          <w:rFonts w:ascii="Arial" w:cs="Arial" w:eastAsia="Arial" w:hAnsi="Arial"/>
          <w:b/>
          <w:bCs/>
          <w:color w:val="1A3A6B"/>
          <w:sz w:val="25"/>
          <w:szCs w:val="25"/>
        </w:rPr>
        <w:t xml:space="preserve">4.2 Self-Transition Persistence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1800"/>
        <w:gridCol w:w="2400"/>
      </w:tblGrid>
      <w:tr>
        <w:trPr>
          <w:tblHeader/>
        </w:trPr>
        <w:tc>
          <w:tcPr>
            <w:tcW w:type="dxa" w:w="2000"/>
            <w:tcBorders>
              <w:top w:val="single" w:color="AABBCC" w:sz="1"/>
              <w:left w:val="single" w:color="AABBCC" w:sz="1"/>
              <w:bottom w:val="single" w:color="AABBCC" w:sz="1"/>
              <w:right w:val="single" w:color="AABBCC" w:sz="1"/>
            </w:tcBorders>
            <w:shd w:fill="0A1628" w:val="clear"/>
            <w:tcMar>
              <w:top w:type="dxa" w:w="60"/>
              <w:left w:type="dxa" w:w="110"/>
              <w:bottom w:type="dxa" w:w="60"/>
              <w:right w:type="dxa" w:w="110"/>
            </w:tcMar>
          </w:tcPr>
          <w:p>
            <w:pPr>
              <w:jc w:val="left"/>
            </w:pPr>
            <w:r>
              <w:rPr>
                <w:rFonts w:ascii="Arial" w:cs="Arial" w:eastAsia="Arial" w:hAnsi="Arial"/>
                <w:b/>
                <w:bCs/>
                <w:color w:val="FFFFFF"/>
                <w:sz w:val="18"/>
                <w:szCs w:val="18"/>
              </w:rPr>
              <w:t xml:space="preserve">Class</w:t>
            </w:r>
          </w:p>
        </w:tc>
        <w:tc>
          <w:tcPr>
            <w:tcW w:type="dxa" w:w="1800"/>
            <w:tcBorders>
              <w:top w:val="single" w:color="AABBCC" w:sz="1"/>
              <w:left w:val="single" w:color="AABBCC" w:sz="1"/>
              <w:bottom w:val="single" w:color="AABBCC" w:sz="1"/>
              <w:right w:val="single" w:color="AABBCC" w:sz="1"/>
            </w:tcBorders>
            <w:shd w:fill="0A1628" w:val="clear"/>
            <w:tcMar>
              <w:top w:type="dxa" w:w="60"/>
              <w:left w:type="dxa" w:w="110"/>
              <w:bottom w:type="dxa" w:w="60"/>
              <w:right w:type="dxa" w:w="110"/>
            </w:tcMar>
          </w:tcPr>
          <w:p>
            <w:pPr>
              <w:jc w:val="left"/>
            </w:pPr>
            <w:r>
              <w:rPr>
                <w:rFonts w:ascii="Arial" w:cs="Arial" w:eastAsia="Arial" w:hAnsi="Arial"/>
                <w:b/>
                <w:bCs/>
                <w:color w:val="FFFFFF"/>
                <w:sz w:val="18"/>
                <w:szCs w:val="18"/>
              </w:rPr>
              <w:t xml:space="preserve">P[i,i] iid</w:t>
            </w:r>
          </w:p>
        </w:tc>
        <w:tc>
          <w:tcPr>
            <w:tcW w:type="dxa" w:w="2000"/>
            <w:tcBorders>
              <w:top w:val="single" w:color="AABBCC" w:sz="1"/>
              <w:left w:val="single" w:color="AABBCC" w:sz="1"/>
              <w:bottom w:val="single" w:color="AABBCC" w:sz="1"/>
              <w:right w:val="single" w:color="AABBCC" w:sz="1"/>
            </w:tcBorders>
            <w:shd w:fill="0A1628" w:val="clear"/>
            <w:tcMar>
              <w:top w:type="dxa" w:w="60"/>
              <w:left w:type="dxa" w:w="110"/>
              <w:bottom w:type="dxa" w:w="60"/>
              <w:right w:type="dxa" w:w="110"/>
            </w:tcMar>
          </w:tcPr>
          <w:p>
            <w:pPr>
              <w:jc w:val="left"/>
            </w:pPr>
            <w:r>
              <w:rPr>
                <w:rFonts w:ascii="Arial" w:cs="Arial" w:eastAsia="Arial" w:hAnsi="Arial"/>
                <w:b/>
                <w:bCs/>
                <w:color w:val="FFFFFF"/>
                <w:sz w:val="18"/>
                <w:szCs w:val="18"/>
              </w:rPr>
              <w:t xml:space="preserve">P[i,i] bursty</w:t>
            </w:r>
          </w:p>
        </w:tc>
        <w:tc>
          <w:tcPr>
            <w:tcW w:type="dxa" w:w="1800"/>
            <w:tcBorders>
              <w:top w:val="single" w:color="AABBCC" w:sz="1"/>
              <w:left w:val="single" w:color="AABBCC" w:sz="1"/>
              <w:bottom w:val="single" w:color="AABBCC" w:sz="1"/>
              <w:right w:val="single" w:color="AABBCC" w:sz="1"/>
            </w:tcBorders>
            <w:shd w:fill="0A1628" w:val="clear"/>
            <w:tcMar>
              <w:top w:type="dxa" w:w="60"/>
              <w:left w:type="dxa" w:w="110"/>
              <w:bottom w:type="dxa" w:w="60"/>
              <w:right w:type="dxa" w:w="110"/>
            </w:tcMar>
          </w:tcPr>
          <w:p>
            <w:pPr>
              <w:jc w:val="left"/>
            </w:pPr>
            <w:r>
              <w:rPr>
                <w:rFonts w:ascii="Arial" w:cs="Arial" w:eastAsia="Arial" w:hAnsi="Arial"/>
                <w:b/>
                <w:bCs/>
                <w:color w:val="FFFFFF"/>
                <w:sz w:val="18"/>
                <w:szCs w:val="18"/>
              </w:rPr>
              <w:t xml:space="preserve">Increase</w:t>
            </w:r>
          </w:p>
        </w:tc>
        <w:tc>
          <w:tcPr>
            <w:tcW w:type="dxa" w:w="2400"/>
            <w:tcBorders>
              <w:top w:val="single" w:color="AABBCC" w:sz="1"/>
              <w:left w:val="single" w:color="AABBCC" w:sz="1"/>
              <w:bottom w:val="single" w:color="AABBCC" w:sz="1"/>
              <w:right w:val="single" w:color="AABBCC" w:sz="1"/>
            </w:tcBorders>
            <w:shd w:fill="0A1628" w:val="clear"/>
            <w:tcMar>
              <w:top w:type="dxa" w:w="60"/>
              <w:left w:type="dxa" w:w="110"/>
              <w:bottom w:type="dxa" w:w="60"/>
              <w:right w:type="dxa" w:w="110"/>
            </w:tcMar>
          </w:tcPr>
          <w:p>
            <w:pPr>
              <w:jc w:val="left"/>
            </w:pPr>
            <w:r>
              <w:rPr>
                <w:rFonts w:ascii="Arial" w:cs="Arial" w:eastAsia="Arial" w:hAnsi="Arial"/>
                <w:b/>
                <w:bCs/>
                <w:color w:val="FFFFFF"/>
                <w:sz w:val="18"/>
                <w:szCs w:val="18"/>
              </w:rPr>
              <w:t xml:space="preserve">Interpretation</w:t>
            </w:r>
          </w:p>
        </w:tc>
      </w:tr>
      <w:tr>
        <w:trPr>
          <w:tblHeader w:val="false"/>
        </w:trPr>
        <w:tc>
          <w:tcPr>
            <w:tcW w:type="dxa" w:w="20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net_normal</w:t>
            </w:r>
          </w:p>
        </w:tc>
        <w:tc>
          <w:tcPr>
            <w:tcW w:type="dxa" w:w="18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0.082</w:t>
            </w:r>
          </w:p>
        </w:tc>
        <w:tc>
          <w:tcPr>
            <w:tcW w:type="dxa" w:w="20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0.979</w:t>
            </w:r>
          </w:p>
        </w:tc>
        <w:tc>
          <w:tcPr>
            <w:tcW w:type="dxa" w:w="18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+0.897</w:t>
            </w:r>
          </w:p>
        </w:tc>
        <w:tc>
          <w:tcPr>
            <w:tcW w:type="dxa" w:w="24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Sustained attack sustained in predictions</w:t>
            </w:r>
          </w:p>
        </w:tc>
      </w:tr>
      <w:tr>
        <w:trPr>
          <w:tblHeader w:val="false"/>
        </w:trPr>
        <w:tc>
          <w:tcPr>
            <w:tcW w:type="dxa" w:w="20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net_scan</w:t>
            </w:r>
          </w:p>
        </w:tc>
        <w:tc>
          <w:tcPr>
            <w:tcW w:type="dxa" w:w="18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0.109</w:t>
            </w:r>
          </w:p>
        </w:tc>
        <w:tc>
          <w:tcPr>
            <w:tcW w:type="dxa" w:w="20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0.983</w:t>
            </w:r>
          </w:p>
        </w:tc>
        <w:tc>
          <w:tcPr>
            <w:tcW w:type="dxa" w:w="18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+0.874</w:t>
            </w:r>
          </w:p>
        </w:tc>
        <w:tc>
          <w:tcPr>
            <w:tcW w:type="dxa" w:w="24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r>
      <w:tr>
        <w:trPr>
          <w:tblHeader w:val="false"/>
        </w:trPr>
        <w:tc>
          <w:tcPr>
            <w:tcW w:type="dxa" w:w="20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net_ddos</w:t>
            </w:r>
          </w:p>
        </w:tc>
        <w:tc>
          <w:tcPr>
            <w:tcW w:type="dxa" w:w="18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0.111</w:t>
            </w:r>
          </w:p>
        </w:tc>
        <w:tc>
          <w:tcPr>
            <w:tcW w:type="dxa" w:w="20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0.970</w:t>
            </w:r>
          </w:p>
        </w:tc>
        <w:tc>
          <w:tcPr>
            <w:tcW w:type="dxa" w:w="18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+0.860</w:t>
            </w:r>
          </w:p>
        </w:tc>
        <w:tc>
          <w:tcPr>
            <w:tcW w:type="dxa" w:w="24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r>
      <w:tr>
        <w:trPr>
          <w:tblHeader w:val="false"/>
        </w:trPr>
        <w:tc>
          <w:tcPr>
            <w:tcW w:type="dxa" w:w="20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net_exfil</w:t>
            </w:r>
          </w:p>
        </w:tc>
        <w:tc>
          <w:tcPr>
            <w:tcW w:type="dxa" w:w="18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0.110</w:t>
            </w:r>
          </w:p>
        </w:tc>
        <w:tc>
          <w:tcPr>
            <w:tcW w:type="dxa" w:w="20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0.979</w:t>
            </w:r>
          </w:p>
        </w:tc>
        <w:tc>
          <w:tcPr>
            <w:tcW w:type="dxa" w:w="18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+0.869</w:t>
            </w:r>
          </w:p>
        </w:tc>
        <w:tc>
          <w:tcPr>
            <w:tcW w:type="dxa" w:w="24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r>
      <w:tr>
        <w:trPr>
          <w:tblHeader w:val="false"/>
        </w:trPr>
        <w:tc>
          <w:tcPr>
            <w:tcW w:type="dxa" w:w="20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net_c2</w:t>
            </w:r>
          </w:p>
        </w:tc>
        <w:tc>
          <w:tcPr>
            <w:tcW w:type="dxa" w:w="18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0.087</w:t>
            </w:r>
          </w:p>
        </w:tc>
        <w:tc>
          <w:tcPr>
            <w:tcW w:type="dxa" w:w="20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0.976</w:t>
            </w:r>
          </w:p>
        </w:tc>
        <w:tc>
          <w:tcPr>
            <w:tcW w:type="dxa" w:w="18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+0.889</w:t>
            </w:r>
          </w:p>
        </w:tc>
        <w:tc>
          <w:tcPr>
            <w:tcW w:type="dxa" w:w="24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r>
      <w:tr>
        <w:trPr>
          <w:tblHeader w:val="false"/>
        </w:trPr>
        <w:tc>
          <w:tcPr>
            <w:tcW w:type="dxa" w:w="20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log_info</w:t>
            </w:r>
          </w:p>
        </w:tc>
        <w:tc>
          <w:tcPr>
            <w:tcW w:type="dxa" w:w="18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0.090</w:t>
            </w:r>
          </w:p>
        </w:tc>
        <w:tc>
          <w:tcPr>
            <w:tcW w:type="dxa" w:w="20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0.970</w:t>
            </w:r>
          </w:p>
        </w:tc>
        <w:tc>
          <w:tcPr>
            <w:tcW w:type="dxa" w:w="18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+0.880</w:t>
            </w:r>
          </w:p>
        </w:tc>
        <w:tc>
          <w:tcPr>
            <w:tcW w:type="dxa" w:w="24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r>
      <w:tr>
        <w:trPr>
          <w:tblHeader w:val="false"/>
        </w:trPr>
        <w:tc>
          <w:tcPr>
            <w:tcW w:type="dxa" w:w="20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log_warn</w:t>
            </w:r>
          </w:p>
        </w:tc>
        <w:tc>
          <w:tcPr>
            <w:tcW w:type="dxa" w:w="18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0.076</w:t>
            </w:r>
          </w:p>
        </w:tc>
        <w:tc>
          <w:tcPr>
            <w:tcW w:type="dxa" w:w="20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0.974</w:t>
            </w:r>
          </w:p>
        </w:tc>
        <w:tc>
          <w:tcPr>
            <w:tcW w:type="dxa" w:w="18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+0.899</w:t>
            </w:r>
          </w:p>
        </w:tc>
        <w:tc>
          <w:tcPr>
            <w:tcW w:type="dxa" w:w="24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r>
      <w:tr>
        <w:trPr>
          <w:tblHeader w:val="false"/>
        </w:trPr>
        <w:tc>
          <w:tcPr>
            <w:tcW w:type="dxa" w:w="20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log_error</w:t>
            </w:r>
          </w:p>
        </w:tc>
        <w:tc>
          <w:tcPr>
            <w:tcW w:type="dxa" w:w="18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0.120</w:t>
            </w:r>
          </w:p>
        </w:tc>
        <w:tc>
          <w:tcPr>
            <w:tcW w:type="dxa" w:w="20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0.979</w:t>
            </w:r>
          </w:p>
        </w:tc>
        <w:tc>
          <w:tcPr>
            <w:tcW w:type="dxa" w:w="18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+0.859</w:t>
            </w:r>
          </w:p>
        </w:tc>
        <w:tc>
          <w:tcPr>
            <w:tcW w:type="dxa" w:w="24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r>
      <w:tr>
        <w:trPr>
          <w:tblHeader w:val="false"/>
        </w:trPr>
        <w:tc>
          <w:tcPr>
            <w:tcW w:type="dxa" w:w="20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bin_malware</w:t>
            </w:r>
          </w:p>
        </w:tc>
        <w:tc>
          <w:tcPr>
            <w:tcW w:type="dxa" w:w="18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0.086</w:t>
            </w:r>
          </w:p>
        </w:tc>
        <w:tc>
          <w:tcPr>
            <w:tcW w:type="dxa" w:w="20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0.980</w:t>
            </w:r>
          </w:p>
        </w:tc>
        <w:tc>
          <w:tcPr>
            <w:tcW w:type="dxa" w:w="18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+0.893</w:t>
            </w:r>
          </w:p>
        </w:tc>
        <w:tc>
          <w:tcPr>
            <w:tcW w:type="dxa" w:w="24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r>
      <w:tr>
        <w:trPr>
          <w:tblHeader w:val="false"/>
        </w:trPr>
        <w:tc>
          <w:tcPr>
            <w:tcW w:type="dxa" w:w="20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bin_benign</w:t>
            </w:r>
          </w:p>
        </w:tc>
        <w:tc>
          <w:tcPr>
            <w:tcW w:type="dxa" w:w="18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0.125</w:t>
            </w:r>
          </w:p>
        </w:tc>
        <w:tc>
          <w:tcPr>
            <w:tcW w:type="dxa" w:w="20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0.977</w:t>
            </w:r>
          </w:p>
        </w:tc>
        <w:tc>
          <w:tcPr>
            <w:tcW w:type="dxa" w:w="18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+0.853</w:t>
            </w:r>
          </w:p>
        </w:tc>
        <w:tc>
          <w:tcPr>
            <w:tcW w:type="dxa" w:w="24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r>
    </w:tbl>
    <w:p>
      <w:pPr>
        <w:spacing w:before="120" w:after="0"/>
      </w:pPr>
      <w:r>
        <w:rPr>
          <w:rFonts w:ascii="Georgia" w:cs="Georgia" w:eastAsia="Georgia" w:hAnsi="Georgia"/>
          <w:color w:val="1A1A1A"/>
          <w:sz w:val="20"/>
          <w:szCs w:val="20"/>
        </w:rPr>
        <w:t xml:space="preserve"/>
      </w:r>
    </w:p>
    <w:p>
      <w:pPr>
        <w:spacing w:before="60" w:after="100"/>
        <w:jc w:val="both"/>
      </w:pPr>
      <w:r>
        <w:rPr>
          <w:rFonts w:ascii="Georgia" w:cs="Georgia" w:eastAsia="Georgia" w:hAnsi="Georgia"/>
          <w:b/>
          <w:bCs/>
          <w:color w:val="1A1A1A"/>
          <w:sz w:val="20"/>
          <w:szCs w:val="20"/>
        </w:rPr>
        <w:t xml:space="preserve">Under bursty input, the classifier sustains its predictions with ~97% self-transition probability across all classes. </w:t>
      </w:r>
      <w:r>
        <w:rPr>
          <w:rFonts w:ascii="Georgia" w:cs="Georgia" w:eastAsia="Georgia" w:hAnsi="Georgia"/>
          <w:color w:val="1A1A1A"/>
          <w:sz w:val="20"/>
          <w:szCs w:val="20"/>
        </w:rPr>
        <w:t xml:space="preserve">This is the operational behaviour required of an IDS: if the network is under a DDoS attack (bursty net_ddos traffic), the prediction stream should show sustained net_ddos predictions, not flickering between classes. The high persistence (0.97–0.98) with essentially no class-to-class variation means the classifier’s temporal response is uniform across traffic types — no class is ‘stickier’ or ‘more volatile’ than others in bursty traffic.</w:t>
      </w:r>
    </w:p>
    <w:p>
      <w:pPr>
        <w:spacing w:before="1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0A1628"/>
          <w:sz w:val="30"/>
          <w:szCs w:val="30"/>
        </w:rPr>
        <w:t xml:space="preserve">5. Mean First-Passage Times</w:t>
      </w:r>
    </w:p>
    <w:p>
      <w:pPr>
        <w:pStyle w:val="Heading2"/>
        <w:spacing w:before="280" w:after="120"/>
      </w:pPr>
      <w:r>
        <w:rPr>
          <w:rFonts w:ascii="Arial" w:cs="Arial" w:eastAsia="Arial" w:hAnsi="Arial"/>
          <w:b/>
          <w:bCs/>
          <w:color w:val="1A3A6B"/>
          <w:sz w:val="25"/>
          <w:szCs w:val="25"/>
        </w:rPr>
        <w:t xml:space="preserve">5.1 Method: The Fundamental Matrix</w:t>
      </w:r>
    </w:p>
    <w:p>
      <w:pPr>
        <w:spacing w:before="60" w:after="100"/>
        <w:jc w:val="both"/>
      </w:pPr>
      <w:r>
        <w:rPr>
          <w:rFonts w:ascii="Georgia" w:cs="Georgia" w:eastAsia="Georgia" w:hAnsi="Georgia"/>
          <w:color w:val="1A1A1A"/>
          <w:sz w:val="20"/>
          <w:szCs w:val="20"/>
        </w:rPr>
        <w:t xml:space="preserve">The mean first-passage time (MFPT) matrix is computed via the fundamental matrix Z = (I − P + Π)⁻¹ where Π = επᵀ [1,2]:</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AABBCC" w:sz="1"/>
              <w:left w:val="single" w:color="AABBCC" w:sz="1"/>
              <w:bottom w:val="single" w:color="AABBCC" w:sz="1"/>
              <w:right w:val="single" w:color="AABBCC" w:sz="1"/>
            </w:tcBorders>
            <w:shd w:fill="060E1A" w:val="clear"/>
            <w:tcMar>
              <w:top w:type="dxa" w:w="120"/>
              <w:left w:type="dxa" w:w="220"/>
              <w:bottom w:type="dxa" w:w="120"/>
              <w:right w:type="dxa" w:w="220"/>
            </w:tcMar>
          </w:tcPr>
          <w:p>
            <w:pPr>
              <w:spacing w:before="14" w:after="14"/>
            </w:pPr>
            <w:r>
              <w:rPr>
                <w:rFonts w:ascii="Courier New" w:cs="Courier New" w:eastAsia="Courier New" w:hAnsi="Courier New"/>
                <w:color w:val="70A8E8"/>
                <w:sz w:val="17"/>
                <w:szCs w:val="17"/>
              </w:rPr>
              <w:t xml:space="preserve">MFPT[i, j] = (Z[j,j] - Z[i,j]) / π_j    (i ≠ j)</w:t>
            </w:r>
          </w:p>
          <w:p>
            <w:pPr>
              <w:spacing w:before="14" w:after="14"/>
            </w:pPr>
            <w:r>
              <w:rPr>
                <w:rFonts w:ascii="Courier New" w:cs="Courier New" w:eastAsia="Courier New" w:hAnsi="Courier New"/>
                <w:color w:val="70A8E8"/>
                <w:sz w:val="17"/>
                <w:szCs w:val="17"/>
              </w:rPr>
              <w:t xml:space="preserve">MFPT[i, i] = 1 / π_i                    (mean return time)</w:t>
            </w:r>
          </w:p>
        </w:tc>
      </w:tr>
    </w:tbl>
    <w:p>
      <w:pPr>
        <w:pStyle w:val="Heading2"/>
        <w:spacing w:before="280" w:after="120"/>
      </w:pPr>
      <w:r>
        <w:rPr>
          <w:rFonts w:ascii="Arial" w:cs="Arial" w:eastAsia="Arial" w:hAnsi="Arial"/>
          <w:b/>
          <w:bCs/>
          <w:color w:val="1A3A6B"/>
          <w:sz w:val="25"/>
          <w:szCs w:val="25"/>
        </w:rPr>
        <w:t xml:space="preserve">5.2 Results</w:t>
      </w:r>
    </w:p>
    <w:p>
      <w:pPr>
        <w:spacing w:before="60" w:after="100"/>
        <w:jc w:val="both"/>
      </w:pPr>
      <w:r>
        <w:rPr>
          <w:rFonts w:ascii="Georgia" w:cs="Georgia" w:eastAsia="Georgia" w:hAnsi="Georgia"/>
          <w:color w:val="1A1A1A"/>
          <w:sz w:val="20"/>
          <w:szCs w:val="20"/>
        </w:rPr>
        <w:t xml:space="preserve">All mean return times fall in [9.31, 10.80] steps, consistent with the near-uniform stationary distribution (1/π_i ≈ K = 10 for all i). The MFPT matrix is similarly concentrated: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200"/>
      </w:tblGrid>
      <w:tr>
        <w:trPr>
          <w:tblHeader/>
        </w:trPr>
        <w:tc>
          <w:tcPr>
            <w:tcW w:type="dxa" w:w="3600"/>
            <w:tcBorders>
              <w:top w:val="single" w:color="AABBCC" w:sz="1"/>
              <w:left w:val="single" w:color="AABBCC" w:sz="1"/>
              <w:bottom w:val="single" w:color="AABBCC" w:sz="1"/>
              <w:right w:val="single" w:color="AABBCC" w:sz="1"/>
            </w:tcBorders>
            <w:shd w:fill="0A1628" w:val="clear"/>
            <w:tcMar>
              <w:top w:type="dxa" w:w="60"/>
              <w:left w:type="dxa" w:w="110"/>
              <w:bottom w:type="dxa" w:w="60"/>
              <w:right w:type="dxa" w:w="110"/>
            </w:tcMar>
          </w:tcPr>
          <w:p>
            <w:pPr>
              <w:jc w:val="left"/>
            </w:pPr>
            <w:r>
              <w:rPr>
                <w:rFonts w:ascii="Arial" w:cs="Arial" w:eastAsia="Arial" w:hAnsi="Arial"/>
                <w:b/>
                <w:bCs/>
                <w:color w:val="FFFFFF"/>
                <w:sz w:val="18"/>
                <w:szCs w:val="18"/>
              </w:rPr>
              <w:t xml:space="preserve">Quantity</w:t>
            </w:r>
          </w:p>
        </w:tc>
        <w:tc>
          <w:tcPr>
            <w:tcW w:type="dxa" w:w="2400"/>
            <w:tcBorders>
              <w:top w:val="single" w:color="AABBCC" w:sz="1"/>
              <w:left w:val="single" w:color="AABBCC" w:sz="1"/>
              <w:bottom w:val="single" w:color="AABBCC" w:sz="1"/>
              <w:right w:val="single" w:color="AABBCC" w:sz="1"/>
            </w:tcBorders>
            <w:shd w:fill="0A1628" w:val="clear"/>
            <w:tcMar>
              <w:top w:type="dxa" w:w="60"/>
              <w:left w:type="dxa" w:w="110"/>
              <w:bottom w:type="dxa" w:w="60"/>
              <w:right w:type="dxa" w:w="110"/>
            </w:tcMar>
          </w:tcPr>
          <w:p>
            <w:pPr>
              <w:jc w:val="left"/>
            </w:pPr>
            <w:r>
              <w:rPr>
                <w:rFonts w:ascii="Arial" w:cs="Arial" w:eastAsia="Arial" w:hAnsi="Arial"/>
                <w:b/>
                <w:bCs/>
                <w:color w:val="FFFFFF"/>
                <w:sz w:val="18"/>
                <w:szCs w:val="18"/>
              </w:rPr>
              <w:t xml:space="preserve">Value</w:t>
            </w:r>
          </w:p>
        </w:tc>
        <w:tc>
          <w:tcPr>
            <w:tcW w:type="dxa" w:w="3200"/>
            <w:tcBorders>
              <w:top w:val="single" w:color="AABBCC" w:sz="1"/>
              <w:left w:val="single" w:color="AABBCC" w:sz="1"/>
              <w:bottom w:val="single" w:color="AABBCC" w:sz="1"/>
              <w:right w:val="single" w:color="AABBCC" w:sz="1"/>
            </w:tcBorders>
            <w:shd w:fill="0A1628" w:val="clear"/>
            <w:tcMar>
              <w:top w:type="dxa" w:w="60"/>
              <w:left w:type="dxa" w:w="110"/>
              <w:bottom w:type="dxa" w:w="60"/>
              <w:right w:type="dxa" w:w="110"/>
            </w:tcMar>
          </w:tcPr>
          <w:p>
            <w:pPr>
              <w:jc w:val="left"/>
            </w:pPr>
            <w:r>
              <w:rPr>
                <w:rFonts w:ascii="Arial" w:cs="Arial" w:eastAsia="Arial" w:hAnsi="Arial"/>
                <w:b/>
                <w:bCs/>
                <w:color w:val="FFFFFF"/>
                <w:sz w:val="18"/>
                <w:szCs w:val="18"/>
              </w:rPr>
              <w:t xml:space="preserve">Classes involved</w:t>
            </w:r>
          </w:p>
        </w:tc>
      </w:tr>
      <w:tr>
        <w:trPr>
          <w:tblHeader w:val="false"/>
        </w:trPr>
        <w:tc>
          <w:tcPr>
            <w:tcW w:type="dxa" w:w="36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Longest MFPT</w:t>
            </w:r>
          </w:p>
        </w:tc>
        <w:tc>
          <w:tcPr>
            <w:tcW w:type="dxa" w:w="24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10.88 steps</w:t>
            </w:r>
          </w:p>
        </w:tc>
        <w:tc>
          <w:tcPr>
            <w:tcW w:type="dxa" w:w="32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log_warn → bin_malware</w:t>
            </w:r>
          </w:p>
        </w:tc>
      </w:tr>
      <w:tr>
        <w:trPr>
          <w:tblHeader w:val="false"/>
        </w:trPr>
        <w:tc>
          <w:tcPr>
            <w:tcW w:type="dxa" w:w="36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Shortest off-diagonal</w:t>
            </w:r>
          </w:p>
        </w:tc>
        <w:tc>
          <w:tcPr>
            <w:tcW w:type="dxa" w:w="24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8.84 steps</w:t>
            </w:r>
          </w:p>
        </w:tc>
        <w:tc>
          <w:tcPr>
            <w:tcW w:type="dxa" w:w="32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log_warn → net_normal</w:t>
            </w:r>
          </w:p>
        </w:tc>
      </w:tr>
      <w:tr>
        <w:trPr>
          <w:tblHeader w:val="false"/>
        </w:trPr>
        <w:tc>
          <w:tcPr>
            <w:tcW w:type="dxa" w:w="36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Mean MFPT (off-diag)</w:t>
            </w:r>
          </w:p>
        </w:tc>
        <w:tc>
          <w:tcPr>
            <w:tcW w:type="dxa" w:w="24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10.01 steps</w:t>
            </w:r>
          </w:p>
        </w:tc>
        <w:tc>
          <w:tcPr>
            <w:tcW w:type="dxa" w:w="32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all pairs</w:t>
            </w:r>
          </w:p>
        </w:tc>
      </w:tr>
      <w:tr>
        <w:trPr>
          <w:tblHeader w:val="false"/>
        </w:trPr>
        <w:tc>
          <w:tcPr>
            <w:tcW w:type="dxa" w:w="36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net_normal → net_scan</w:t>
            </w:r>
          </w:p>
        </w:tc>
        <w:tc>
          <w:tcPr>
            <w:tcW w:type="dxa" w:w="24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9.68 steps</w:t>
            </w:r>
          </w:p>
        </w:tc>
        <w:tc>
          <w:tcPr>
            <w:tcW w:type="dxa" w:w="32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r>
      <w:tr>
        <w:trPr>
          <w:tblHeader w:val="false"/>
        </w:trPr>
        <w:tc>
          <w:tcPr>
            <w:tcW w:type="dxa" w:w="36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net_normal → net_ddos</w:t>
            </w:r>
          </w:p>
        </w:tc>
        <w:tc>
          <w:tcPr>
            <w:tcW w:type="dxa" w:w="24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10.20 steps</w:t>
            </w:r>
          </w:p>
        </w:tc>
        <w:tc>
          <w:tcPr>
            <w:tcW w:type="dxa" w:w="32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r>
      <w:tr>
        <w:trPr>
          <w:tblHeader w:val="false"/>
        </w:trPr>
        <w:tc>
          <w:tcPr>
            <w:tcW w:type="dxa" w:w="36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net_normal → net_exfil</w:t>
            </w:r>
          </w:p>
        </w:tc>
        <w:tc>
          <w:tcPr>
            <w:tcW w:type="dxa" w:w="24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10.08 steps</w:t>
            </w:r>
          </w:p>
        </w:tc>
        <w:tc>
          <w:tcPr>
            <w:tcW w:type="dxa" w:w="32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r>
      <w:tr>
        <w:trPr>
          <w:tblHeader w:val="false"/>
        </w:trPr>
        <w:tc>
          <w:tcPr>
            <w:tcW w:type="dxa" w:w="36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net_normal → net_c2</w:t>
            </w:r>
          </w:p>
        </w:tc>
        <w:tc>
          <w:tcPr>
            <w:tcW w:type="dxa" w:w="24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9.97 steps</w:t>
            </w:r>
          </w:p>
        </w:tc>
        <w:tc>
          <w:tcPr>
            <w:tcW w:type="dxa" w:w="32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r>
      <w:tr>
        <w:trPr>
          <w:tblHeader w:val="false"/>
        </w:trPr>
        <w:tc>
          <w:tcPr>
            <w:tcW w:type="dxa" w:w="36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net_normal → bin_malware</w:t>
            </w:r>
          </w:p>
        </w:tc>
        <w:tc>
          <w:tcPr>
            <w:tcW w:type="dxa" w:w="24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10.47 steps</w:t>
            </w:r>
          </w:p>
        </w:tc>
        <w:tc>
          <w:tcPr>
            <w:tcW w:type="dxa" w:w="32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r>
    </w:tbl>
    <w:p>
      <w:pPr>
        <w:spacing w:before="120" w:after="0"/>
      </w:pPr>
      <w:r>
        <w:rPr>
          <w:rFonts w:ascii="Georgia" w:cs="Georgia" w:eastAsia="Georgia" w:hAnsi="Georgia"/>
          <w:color w:val="1A1A1A"/>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AABBCC" w:sz="1"/>
              <w:left w:val="single" w:color="AABBCC" w:sz="1"/>
              <w:bottom w:val="single" w:color="AABBCC" w:sz="1"/>
              <w:right w:val="single" w:color="AABBCC" w:sz="1"/>
            </w:tcBorders>
            <w:shd w:fill="DCE8F5" w:val="clear"/>
            <w:tcMar>
              <w:top w:type="dxa" w:w="140"/>
              <w:left w:type="dxa" w:w="260"/>
              <w:bottom w:type="dxa" w:w="140"/>
              <w:right w:type="dxa" w:w="260"/>
            </w:tcMar>
          </w:tcPr>
          <w:p>
            <w:pPr>
              <w:spacing w:before="0" w:after="60"/>
            </w:pPr>
            <w:r>
              <w:rPr>
                <w:rFonts w:ascii="Arial" w:cs="Arial" w:eastAsia="Arial" w:hAnsi="Arial"/>
                <w:b/>
                <w:bCs/>
                <w:color w:val="0A1628"/>
                <w:sz w:val="19"/>
                <w:szCs w:val="19"/>
              </w:rPr>
              <w:t xml:space="preserve">Operational interpretation</w:t>
            </w:r>
          </w:p>
          <w:p>
            <w:pPr>
              <w:spacing w:before="60" w:after="100"/>
              <w:jc w:val="both"/>
            </w:pPr>
            <w:r>
              <w:rPr>
                <w:rFonts w:ascii="Georgia" w:cs="Georgia" w:eastAsia="Georgia" w:hAnsi="Georgia"/>
                <w:color w:val="1A1A1A"/>
                <w:sz w:val="20"/>
                <w:szCs w:val="20"/>
              </w:rPr>
              <w:t xml:space="preserve">Under iid input, the expected number of samples between any normal-traffic sample and the first occurrence of any attack prediction is 9.7–10.5 steps — approximately K = 10, as expected for a near-uniform chain. This means that in a mixed traffic stream, the classifier will encounter each attack class roughly once every K = 10 samples, regardless of which class it just predicted. The MFPT structure is essentially flat: all attack classes are equally ‘reachable’ from any safe class, with no preferential routing between classes.</w:t>
            </w:r>
          </w:p>
        </w:tc>
      </w:tr>
    </w:tbl>
    <w:p>
      <w:pPr>
        <w:spacing w:before="100" w:after="0"/>
      </w:pPr>
      <w:r>
        <w:rPr>
          <w:rFonts w:ascii="Georgia" w:cs="Georgia" w:eastAsia="Georgia" w:hAnsi="Georgia"/>
          <w:color w:val="1A1A1A"/>
          <w:sz w:val="20"/>
          <w:szCs w:val="20"/>
        </w:rPr>
        <w:t xml:space="preserve"/>
      </w:r>
    </w:p>
    <w:p>
      <w:pPr>
        <w:spacing w:before="60" w:after="100"/>
        <w:jc w:val="both"/>
      </w:pPr>
      <w:r>
        <w:rPr>
          <w:rFonts w:ascii="Georgia" w:cs="Georgia" w:eastAsia="Georgia" w:hAnsi="Georgia"/>
          <w:b/>
          <w:bCs/>
          <w:color w:val="1A1A1A"/>
          <w:sz w:val="20"/>
          <w:szCs w:val="20"/>
        </w:rPr>
        <w:t xml:space="preserve">Why is the MFPT matrix so flat? </w:t>
      </w:r>
      <w:r>
        <w:rPr>
          <w:rFonts w:ascii="Georgia" w:cs="Georgia" w:eastAsia="Georgia" w:hAnsi="Georgia"/>
          <w:color w:val="1A1A1A"/>
          <w:sz w:val="20"/>
          <w:szCs w:val="20"/>
        </w:rPr>
        <w:t xml:space="preserve">Under iid input with a near-uniform stationary distribution, the MFPT from any state i to any state j is MFPT[i,j] ≈ 1/π_j ± O(Z[i,j]), where Z[i,j] is the (i,j) element of the fundamental matrix. Since the fundamental matrix Z ≈ I + P + P² + … converges rapidly (the chain mixes in ~1 step), Z[i,j] ≈ π_j for i ≠ j, and MFPT[i,j] ≈ 1/π_j ± 1/π_j ≈ 10 for all pairs. The small spread (8.84–10.88) reflects the residual non-uniformity of π.</w:t>
      </w:r>
    </w:p>
    <w:p>
      <w:pPr>
        <w:spacing w:before="1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0A1628"/>
          <w:sz w:val="30"/>
          <w:szCs w:val="30"/>
        </w:rPr>
        <w:t xml:space="preserve">6. Detailed Balance and Probability Currents</w:t>
      </w:r>
    </w:p>
    <w:p>
      <w:pPr>
        <w:pStyle w:val="Heading2"/>
        <w:spacing w:before="280" w:after="120"/>
      </w:pPr>
      <w:r>
        <w:rPr>
          <w:rFonts w:ascii="Arial" w:cs="Arial" w:eastAsia="Arial" w:hAnsi="Arial"/>
          <w:b/>
          <w:bCs/>
          <w:color w:val="1A3A6B"/>
          <w:sz w:val="25"/>
          <w:szCs w:val="25"/>
        </w:rPr>
        <w:t xml:space="preserve">6.1 Test for Time Reversibility</w:t>
      </w:r>
    </w:p>
    <w:p>
      <w:pPr>
        <w:spacing w:before="60" w:after="100"/>
        <w:jc w:val="both"/>
      </w:pPr>
      <w:r>
        <w:rPr>
          <w:rFonts w:ascii="Georgia" w:cs="Georgia" w:eastAsia="Georgia" w:hAnsi="Georgia"/>
          <w:color w:val="1A1A1A"/>
          <w:sz w:val="20"/>
          <w:szCs w:val="20"/>
        </w:rPr>
        <w:t xml:space="preserve">A Markov chain is time-reversible if it satisfies the detailed balance equations: π_i P_{ij} = π_j P_{ji} for all i,j. Violation implies a net probability current J_{ij} = π_i P_{ij} − π_j P_{ji}, representing a preferred direction of flow in prediction space.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AABBCC" w:sz="1"/>
              <w:left w:val="single" w:color="AABBCC" w:sz="1"/>
              <w:bottom w:val="single" w:color="AABBCC" w:sz="1"/>
              <w:right w:val="single" w:color="AABBCC" w:sz="1"/>
            </w:tcBorders>
            <w:shd w:fill="DCE8F5" w:val="clear"/>
            <w:tcMar>
              <w:top w:type="dxa" w:w="140"/>
              <w:left w:type="dxa" w:w="260"/>
              <w:bottom w:type="dxa" w:w="140"/>
              <w:right w:type="dxa" w:w="260"/>
            </w:tcMar>
          </w:tcPr>
          <w:p>
            <w:pPr>
              <w:spacing w:before="0" w:after="60"/>
            </w:pPr>
            <w:r>
              <w:rPr>
                <w:rFonts w:ascii="Arial" w:cs="Arial" w:eastAsia="Arial" w:hAnsi="Arial"/>
                <w:b/>
                <w:bCs/>
                <w:color w:val="0A1628"/>
                <w:sz w:val="19"/>
                <w:szCs w:val="19"/>
              </w:rPr>
              <w:t xml:space="preserve">Result</w:t>
            </w:r>
          </w:p>
          <w:p>
            <w:pPr>
              <w:spacing w:before="60" w:after="100"/>
              <w:jc w:val="both"/>
            </w:pPr>
            <w:r>
              <w:rPr>
                <w:rFonts w:ascii="Georgia" w:cs="Georgia" w:eastAsia="Georgia" w:hAnsi="Georgia"/>
                <w:b/>
                <w:bCs/>
                <w:color w:val="1A1A1A"/>
                <w:sz w:val="20"/>
                <w:szCs w:val="20"/>
              </w:rPr>
              <w:t xml:space="preserve">The prediction chain is weakly irreversible. </w:t>
            </w:r>
            <w:r>
              <w:rPr>
                <w:rFonts w:ascii="Georgia" w:cs="Georgia" w:eastAsia="Georgia" w:hAnsi="Georgia"/>
                <w:color w:val="1A1A1A"/>
                <w:sz w:val="20"/>
                <w:szCs w:val="20"/>
              </w:rPr>
              <w:t xml:space="preserve">Mean DB residual = 1.56×10⁻³, maximum = 4.60×10⁻³. The chain violates time-reversal symmetry, but barely. The maximum current J_{max} = 4.6×10⁻³ means the net probability flux between the most asymmetrically connected pair (net_normal ↔ log_warn) is 0.46% of the total probability mass per step.</w:t>
            </w:r>
          </w:p>
        </w:tc>
      </w:tr>
    </w:tbl>
    <w:p>
      <w:pPr>
        <w:spacing w:before="100" w:after="0"/>
      </w:pPr>
      <w:r>
        <w:rPr>
          <w:rFonts w:ascii="Georgia" w:cs="Georgia" w:eastAsia="Georgia" w:hAnsi="Georgia"/>
          <w:color w:val="1A1A1A"/>
          <w:sz w:val="20"/>
          <w:szCs w:val="20"/>
        </w:rPr>
        <w:t xml:space="preserve"/>
      </w:r>
    </w:p>
    <w:p>
      <w:pPr>
        <w:pStyle w:val="Heading2"/>
        <w:spacing w:before="280" w:after="120"/>
      </w:pPr>
      <w:r>
        <w:rPr>
          <w:rFonts w:ascii="Arial" w:cs="Arial" w:eastAsia="Arial" w:hAnsi="Arial"/>
          <w:b/>
          <w:bCs/>
          <w:color w:val="1A3A6B"/>
          <w:sz w:val="25"/>
          <w:szCs w:val="25"/>
        </w:rPr>
        <w:t xml:space="preserve">6.2 Net Probability Currents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600"/>
        <w:gridCol w:w="1800"/>
      </w:tblGrid>
      <w:tr>
        <w:trPr>
          <w:tblHeader/>
        </w:trPr>
        <w:tc>
          <w:tcPr>
            <w:tcW w:type="dxa" w:w="2600"/>
            <w:tcBorders>
              <w:top w:val="single" w:color="AABBCC" w:sz="1"/>
              <w:left w:val="single" w:color="AABBCC" w:sz="1"/>
              <w:bottom w:val="single" w:color="AABBCC" w:sz="1"/>
              <w:right w:val="single" w:color="AABBCC" w:sz="1"/>
            </w:tcBorders>
            <w:shd w:fill="0A1628" w:val="clear"/>
            <w:tcMar>
              <w:top w:type="dxa" w:w="60"/>
              <w:left w:type="dxa" w:w="110"/>
              <w:bottom w:type="dxa" w:w="60"/>
              <w:right w:type="dxa" w:w="110"/>
            </w:tcMar>
          </w:tcPr>
          <w:p>
            <w:pPr>
              <w:jc w:val="left"/>
            </w:pPr>
            <w:r>
              <w:rPr>
                <w:rFonts w:ascii="Arial" w:cs="Arial" w:eastAsia="Arial" w:hAnsi="Arial"/>
                <w:b/>
                <w:bCs/>
                <w:color w:val="FFFFFF"/>
                <w:sz w:val="18"/>
                <w:szCs w:val="18"/>
              </w:rPr>
              <w:t xml:space="preserve">Pair</w:t>
            </w:r>
          </w:p>
        </w:tc>
        <w:tc>
          <w:tcPr>
            <w:tcW w:type="dxa" w:w="2200"/>
            <w:tcBorders>
              <w:top w:val="single" w:color="AABBCC" w:sz="1"/>
              <w:left w:val="single" w:color="AABBCC" w:sz="1"/>
              <w:bottom w:val="single" w:color="AABBCC" w:sz="1"/>
              <w:right w:val="single" w:color="AABBCC" w:sz="1"/>
            </w:tcBorders>
            <w:shd w:fill="0A1628" w:val="clear"/>
            <w:tcMar>
              <w:top w:type="dxa" w:w="60"/>
              <w:left w:type="dxa" w:w="110"/>
              <w:bottom w:type="dxa" w:w="60"/>
              <w:right w:type="dxa" w:w="110"/>
            </w:tcMar>
          </w:tcPr>
          <w:p>
            <w:pPr>
              <w:jc w:val="left"/>
            </w:pPr>
            <w:r>
              <w:rPr>
                <w:rFonts w:ascii="Arial" w:cs="Arial" w:eastAsia="Arial" w:hAnsi="Arial"/>
                <w:b/>
                <w:bCs/>
                <w:color w:val="FFFFFF"/>
                <w:sz w:val="18"/>
                <w:szCs w:val="18"/>
              </w:rPr>
              <w:t xml:space="preserve">Net current J</w:t>
            </w:r>
          </w:p>
        </w:tc>
        <w:tc>
          <w:tcPr>
            <w:tcW w:type="dxa" w:w="2600"/>
            <w:tcBorders>
              <w:top w:val="single" w:color="AABBCC" w:sz="1"/>
              <w:left w:val="single" w:color="AABBCC" w:sz="1"/>
              <w:bottom w:val="single" w:color="AABBCC" w:sz="1"/>
              <w:right w:val="single" w:color="AABBCC" w:sz="1"/>
            </w:tcBorders>
            <w:shd w:fill="0A1628" w:val="clear"/>
            <w:tcMar>
              <w:top w:type="dxa" w:w="60"/>
              <w:left w:type="dxa" w:w="110"/>
              <w:bottom w:type="dxa" w:w="60"/>
              <w:right w:type="dxa" w:w="110"/>
            </w:tcMar>
          </w:tcPr>
          <w:p>
            <w:pPr>
              <w:jc w:val="left"/>
            </w:pPr>
            <w:r>
              <w:rPr>
                <w:rFonts w:ascii="Arial" w:cs="Arial" w:eastAsia="Arial" w:hAnsi="Arial"/>
                <w:b/>
                <w:bCs/>
                <w:color w:val="FFFFFF"/>
                <w:sz w:val="18"/>
                <w:szCs w:val="18"/>
              </w:rPr>
              <w:t xml:space="preserve">Direction</w:t>
            </w:r>
          </w:p>
        </w:tc>
        <w:tc>
          <w:tcPr>
            <w:tcW w:type="dxa" w:w="1800"/>
            <w:tcBorders>
              <w:top w:val="single" w:color="AABBCC" w:sz="1"/>
              <w:left w:val="single" w:color="AABBCC" w:sz="1"/>
              <w:bottom w:val="single" w:color="AABBCC" w:sz="1"/>
              <w:right w:val="single" w:color="AABBCC" w:sz="1"/>
            </w:tcBorders>
            <w:shd w:fill="0A1628" w:val="clear"/>
            <w:tcMar>
              <w:top w:type="dxa" w:w="60"/>
              <w:left w:type="dxa" w:w="110"/>
              <w:bottom w:type="dxa" w:w="60"/>
              <w:right w:type="dxa" w:w="110"/>
            </w:tcMar>
          </w:tcPr>
          <w:p>
            <w:pPr>
              <w:jc w:val="left"/>
            </w:pPr>
            <w:r>
              <w:rPr>
                <w:rFonts w:ascii="Arial" w:cs="Arial" w:eastAsia="Arial" w:hAnsi="Arial"/>
                <w:b/>
                <w:bCs/>
                <w:color w:val="FFFFFF"/>
                <w:sz w:val="18"/>
                <w:szCs w:val="18"/>
              </w:rPr>
              <w:t xml:space="preserve">Magnitude</w:t>
            </w:r>
          </w:p>
        </w:tc>
      </w:tr>
      <w:tr>
        <w:trPr>
          <w:tblHeader w:val="false"/>
        </w:trPr>
        <w:tc>
          <w:tcPr>
            <w:tcW w:type="dxa" w:w="26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net_normal ↔ log_warn</w:t>
            </w:r>
          </w:p>
        </w:tc>
        <w:tc>
          <w:tcPr>
            <w:tcW w:type="dxa" w:w="22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−4.60×10⁻³</w:t>
            </w:r>
          </w:p>
        </w:tc>
        <w:tc>
          <w:tcPr>
            <w:tcW w:type="dxa" w:w="26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log_warn → net_normal</w:t>
            </w:r>
          </w:p>
        </w:tc>
        <w:tc>
          <w:tcPr>
            <w:tcW w:type="dxa" w:w="18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Strongest</w:t>
            </w:r>
          </w:p>
        </w:tc>
      </w:tr>
      <w:tr>
        <w:trPr>
          <w:tblHeader w:val="false"/>
        </w:trPr>
        <w:tc>
          <w:tcPr>
            <w:tcW w:type="dxa" w:w="26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net_ddos ↔ log_info</w:t>
            </w:r>
          </w:p>
        </w:tc>
        <w:tc>
          <w:tcPr>
            <w:tcW w:type="dxa" w:w="22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−4.42×10⁻³</w:t>
            </w:r>
          </w:p>
        </w:tc>
        <w:tc>
          <w:tcPr>
            <w:tcW w:type="dxa" w:w="26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log_info → net_ddos</w:t>
            </w:r>
          </w:p>
        </w:tc>
        <w:tc>
          <w:tcPr>
            <w:tcW w:type="dxa" w:w="18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r>
      <w:tr>
        <w:trPr>
          <w:tblHeader w:val="false"/>
        </w:trPr>
        <w:tc>
          <w:tcPr>
            <w:tcW w:type="dxa" w:w="26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log_warn ↔ bin_malware</w:t>
            </w:r>
          </w:p>
        </w:tc>
        <w:tc>
          <w:tcPr>
            <w:tcW w:type="dxa" w:w="22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−3.20×10⁻³</w:t>
            </w:r>
          </w:p>
        </w:tc>
        <w:tc>
          <w:tcPr>
            <w:tcW w:type="dxa" w:w="26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bin_malware → log_warn</w:t>
            </w:r>
          </w:p>
        </w:tc>
        <w:tc>
          <w:tcPr>
            <w:tcW w:type="dxa" w:w="18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r>
      <w:tr>
        <w:trPr>
          <w:tblHeader w:val="false"/>
        </w:trPr>
        <w:tc>
          <w:tcPr>
            <w:tcW w:type="dxa" w:w="26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log_error ↔ bin_benign</w:t>
            </w:r>
          </w:p>
        </w:tc>
        <w:tc>
          <w:tcPr>
            <w:tcW w:type="dxa" w:w="22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−3.03×10⁻³</w:t>
            </w:r>
          </w:p>
        </w:tc>
        <w:tc>
          <w:tcPr>
            <w:tcW w:type="dxa" w:w="26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bin_benign → log_error</w:t>
            </w:r>
          </w:p>
        </w:tc>
        <w:tc>
          <w:tcPr>
            <w:tcW w:type="dxa" w:w="18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w:r>
          </w:p>
        </w:tc>
      </w:tr>
      <w:tr>
        <w:trPr>
          <w:tblHeader w:val="false"/>
        </w:trPr>
        <w:tc>
          <w:tcPr>
            <w:tcW w:type="dxa" w:w="26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net_c2 ↔ bin_benign</w:t>
            </w:r>
          </w:p>
        </w:tc>
        <w:tc>
          <w:tcPr>
            <w:tcW w:type="dxa" w:w="22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−3.02×10⁻³</w:t>
            </w:r>
          </w:p>
        </w:tc>
        <w:tc>
          <w:tcPr>
            <w:tcW w:type="dxa" w:w="26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bin_benign → net_c2</w:t>
            </w:r>
          </w:p>
        </w:tc>
        <w:tc>
          <w:tcPr>
            <w:tcW w:type="dxa" w:w="18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Weakest top-5</w:t>
            </w:r>
          </w:p>
        </w:tc>
      </w:tr>
    </w:tbl>
    <w:p>
      <w:pPr>
        <w:spacing w:before="120" w:after="0"/>
      </w:pPr>
      <w:r>
        <w:rPr>
          <w:rFonts w:ascii="Georgia" w:cs="Georgia" w:eastAsia="Georgia" w:hAnsi="Georgia"/>
          <w:color w:val="1A1A1A"/>
          <w:sz w:val="20"/>
          <w:szCs w:val="20"/>
        </w:rPr>
        <w:t xml:space="preserve"/>
      </w:r>
    </w:p>
    <w:p>
      <w:pPr>
        <w:spacing w:before="60" w:after="100"/>
        <w:jc w:val="both"/>
      </w:pPr>
      <w:r>
        <w:rPr>
          <w:rFonts w:ascii="Georgia" w:cs="Georgia" w:eastAsia="Georgia" w:hAnsi="Georgia"/>
          <w:b/>
          <w:bCs/>
          <w:color w:val="1A1A1A"/>
          <w:sz w:val="20"/>
          <w:szCs w:val="20"/>
        </w:rPr>
        <w:t xml:space="preserve">All net currents flow toward network/log classes from binary classes. </w:t>
      </w:r>
      <w:r>
        <w:rPr>
          <w:rFonts w:ascii="Georgia" w:cs="Georgia" w:eastAsia="Georgia" w:hAnsi="Georgia"/>
          <w:color w:val="1A1A1A"/>
          <w:sz w:val="20"/>
          <w:szCs w:val="20"/>
        </w:rPr>
        <w:t xml:space="preserve">The pattern of probability currents is consistent: binary classes (bin_benign, bin_malware) have net outflow toward network traffic and log classes. Under iid input, these currents are vanishingly small (J ∼ 10⁻³) and operationally negligible. Their existence signals a slight asymmetry in the misclassification structure: when an error occurs on a binary sample, the prediction is slightly more likely to be a network-traffic class than a log class, and this asymmetry is not perfectly reversed for network-to-binary mis-classifications. The origin is the latent-space geometry identified in the Wasserstein analysis: binary classes are outliers in W2 space, and their geometric asymmetry with the other classes produces small but measurable directional asymmetries in the error rates.</w:t>
      </w:r>
    </w:p>
    <w:p>
      <w:pPr>
        <w:spacing w:before="1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0A1628"/>
          <w:sz w:val="30"/>
          <w:szCs w:val="30"/>
        </w:rPr>
        <w:t xml:space="preserve">7. Realistic Traffic: Stationary Distribution Recovery</w:t>
      </w:r>
    </w:p>
    <w:p>
      <w:pPr>
        <w:spacing w:before="60" w:after="100"/>
        <w:jc w:val="both"/>
      </w:pPr>
      <w:r>
        <w:rPr>
          <w:rFonts w:ascii="Georgia" w:cs="Georgia" w:eastAsia="Georgia" w:hAnsi="Georgia"/>
          <w:color w:val="1A1A1A"/>
          <w:sz w:val="20"/>
          <w:szCs w:val="20"/>
        </w:rPr>
        <w:t xml:space="preserve">A critical capability for an online classifier used for traffic profiling is stationary distribution recovery: the long-run prediction frequencies should match the true input class frequencies. If the prediction chain’s stationary distribution π_pred matches the input distribution π_input, the classifier can be used for passive traffic monitoring — estimating what fraction of traffic is malicious, what fraction is normal, etc. — without requiring ground truth labels.</w:t>
      </w:r>
    </w:p>
    <w:p>
      <w:pPr>
        <w:pStyle w:val="Heading2"/>
        <w:spacing w:before="280" w:after="120"/>
      </w:pPr>
      <w:r>
        <w:rPr>
          <w:rFonts w:ascii="Arial" w:cs="Arial" w:eastAsia="Arial" w:hAnsi="Arial"/>
          <w:b/>
          <w:bCs/>
          <w:color w:val="1A3A6B"/>
          <w:sz w:val="25"/>
          <w:szCs w:val="25"/>
        </w:rPr>
        <w:t xml:space="preserve">7.1 Results Under Realistic Input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00"/>
        <w:gridCol w:w="2400"/>
      </w:tblGrid>
      <w:tr>
        <w:trPr>
          <w:tblHeader/>
        </w:trPr>
        <w:tc>
          <w:tcPr>
            <w:tcW w:type="dxa" w:w="2000"/>
            <w:tcBorders>
              <w:top w:val="single" w:color="AABBCC" w:sz="1"/>
              <w:left w:val="single" w:color="AABBCC" w:sz="1"/>
              <w:bottom w:val="single" w:color="AABBCC" w:sz="1"/>
              <w:right w:val="single" w:color="AABBCC" w:sz="1"/>
            </w:tcBorders>
            <w:shd w:fill="0A1628" w:val="clear"/>
            <w:tcMar>
              <w:top w:type="dxa" w:w="60"/>
              <w:left w:type="dxa" w:w="110"/>
              <w:bottom w:type="dxa" w:w="60"/>
              <w:right w:type="dxa" w:w="110"/>
            </w:tcMar>
          </w:tcPr>
          <w:p>
            <w:pPr>
              <w:jc w:val="left"/>
            </w:pPr>
            <w:r>
              <w:rPr>
                <w:rFonts w:ascii="Arial" w:cs="Arial" w:eastAsia="Arial" w:hAnsi="Arial"/>
                <w:b/>
                <w:bCs/>
                <w:color w:val="FFFFFF"/>
                <w:sz w:val="18"/>
                <w:szCs w:val="18"/>
              </w:rPr>
              <w:t xml:space="preserve">Class</w:t>
            </w:r>
          </w:p>
        </w:tc>
        <w:tc>
          <w:tcPr>
            <w:tcW w:type="dxa" w:w="1800"/>
            <w:tcBorders>
              <w:top w:val="single" w:color="AABBCC" w:sz="1"/>
              <w:left w:val="single" w:color="AABBCC" w:sz="1"/>
              <w:bottom w:val="single" w:color="AABBCC" w:sz="1"/>
              <w:right w:val="single" w:color="AABBCC" w:sz="1"/>
            </w:tcBorders>
            <w:shd w:fill="0A1628" w:val="clear"/>
            <w:tcMar>
              <w:top w:type="dxa" w:w="60"/>
              <w:left w:type="dxa" w:w="110"/>
              <w:bottom w:type="dxa" w:w="60"/>
              <w:right w:type="dxa" w:w="110"/>
            </w:tcMar>
          </w:tcPr>
          <w:p>
            <w:pPr>
              <w:jc w:val="left"/>
            </w:pPr>
            <w:r>
              <w:rPr>
                <w:rFonts w:ascii="Arial" w:cs="Arial" w:eastAsia="Arial" w:hAnsi="Arial"/>
                <w:b/>
                <w:bCs/>
                <w:color w:val="FFFFFF"/>
                <w:sz w:val="18"/>
                <w:szCs w:val="18"/>
              </w:rPr>
              <w:t xml:space="preserve">π_input</w:t>
            </w:r>
          </w:p>
        </w:tc>
        <w:tc>
          <w:tcPr>
            <w:tcW w:type="dxa" w:w="1800"/>
            <w:tcBorders>
              <w:top w:val="single" w:color="AABBCC" w:sz="1"/>
              <w:left w:val="single" w:color="AABBCC" w:sz="1"/>
              <w:bottom w:val="single" w:color="AABBCC" w:sz="1"/>
              <w:right w:val="single" w:color="AABBCC" w:sz="1"/>
            </w:tcBorders>
            <w:shd w:fill="0A1628" w:val="clear"/>
            <w:tcMar>
              <w:top w:type="dxa" w:w="60"/>
              <w:left w:type="dxa" w:w="110"/>
              <w:bottom w:type="dxa" w:w="60"/>
              <w:right w:type="dxa" w:w="110"/>
            </w:tcMar>
          </w:tcPr>
          <w:p>
            <w:pPr>
              <w:jc w:val="left"/>
            </w:pPr>
            <w:r>
              <w:rPr>
                <w:rFonts w:ascii="Arial" w:cs="Arial" w:eastAsia="Arial" w:hAnsi="Arial"/>
                <w:b/>
                <w:bCs/>
                <w:color w:val="FFFFFF"/>
                <w:sz w:val="18"/>
                <w:szCs w:val="18"/>
              </w:rPr>
              <w:t xml:space="preserve">π_pred</w:t>
            </w:r>
          </w:p>
        </w:tc>
        <w:tc>
          <w:tcPr>
            <w:tcW w:type="dxa" w:w="1800"/>
            <w:tcBorders>
              <w:top w:val="single" w:color="AABBCC" w:sz="1"/>
              <w:left w:val="single" w:color="AABBCC" w:sz="1"/>
              <w:bottom w:val="single" w:color="AABBCC" w:sz="1"/>
              <w:right w:val="single" w:color="AABBCC" w:sz="1"/>
            </w:tcBorders>
            <w:shd w:fill="0A1628" w:val="clear"/>
            <w:tcMar>
              <w:top w:type="dxa" w:w="60"/>
              <w:left w:type="dxa" w:w="110"/>
              <w:bottom w:type="dxa" w:w="60"/>
              <w:right w:type="dxa" w:w="110"/>
            </w:tcMar>
          </w:tcPr>
          <w:p>
            <w:pPr>
              <w:jc w:val="left"/>
            </w:pPr>
            <w:r>
              <w:rPr>
                <w:rFonts w:ascii="Arial" w:cs="Arial" w:eastAsia="Arial" w:hAnsi="Arial"/>
                <w:b/>
                <w:bCs/>
                <w:color w:val="FFFFFF"/>
                <w:sz w:val="18"/>
                <w:szCs w:val="18"/>
              </w:rPr>
              <w:t xml:space="preserve">Error</w:t>
            </w:r>
          </w:p>
        </w:tc>
        <w:tc>
          <w:tcPr>
            <w:tcW w:type="dxa" w:w="2400"/>
            <w:tcBorders>
              <w:top w:val="single" w:color="AABBCC" w:sz="1"/>
              <w:left w:val="single" w:color="AABBCC" w:sz="1"/>
              <w:bottom w:val="single" w:color="AABBCC" w:sz="1"/>
              <w:right w:val="single" w:color="AABBCC" w:sz="1"/>
            </w:tcBorders>
            <w:shd w:fill="0A1628" w:val="clear"/>
            <w:tcMar>
              <w:top w:type="dxa" w:w="60"/>
              <w:left w:type="dxa" w:w="110"/>
              <w:bottom w:type="dxa" w:w="60"/>
              <w:right w:type="dxa" w:w="110"/>
            </w:tcMar>
          </w:tcPr>
          <w:p>
            <w:pPr>
              <w:jc w:val="left"/>
            </w:pPr>
            <w:r>
              <w:rPr>
                <w:rFonts w:ascii="Arial" w:cs="Arial" w:eastAsia="Arial" w:hAnsi="Arial"/>
                <w:b/>
                <w:bCs/>
                <w:color w:val="FFFFFF"/>
                <w:sz w:val="18"/>
                <w:szCs w:val="18"/>
              </w:rPr>
              <w:t xml:space="preserve">Recovery quality</w:t>
            </w:r>
          </w:p>
        </w:tc>
      </w:tr>
      <w:tr>
        <w:trPr>
          <w:tblHeader w:val="false"/>
        </w:trPr>
        <w:tc>
          <w:tcPr>
            <w:tcW w:type="dxa" w:w="20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net_normal</w:t>
            </w:r>
          </w:p>
        </w:tc>
        <w:tc>
          <w:tcPr>
            <w:tcW w:type="dxa" w:w="18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0.6000</w:t>
            </w:r>
          </w:p>
        </w:tc>
        <w:tc>
          <w:tcPr>
            <w:tcW w:type="dxa" w:w="18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0.6101</w:t>
            </w:r>
          </w:p>
        </w:tc>
        <w:tc>
          <w:tcPr>
            <w:tcW w:type="dxa" w:w="18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+0.010</w:t>
            </w:r>
          </w:p>
        </w:tc>
        <w:tc>
          <w:tcPr>
            <w:tcW w:type="dxa" w:w="24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Slight over-detection</w:t>
            </w:r>
          </w:p>
        </w:tc>
      </w:tr>
      <w:tr>
        <w:trPr>
          <w:tblHeader w:val="false"/>
        </w:trPr>
        <w:tc>
          <w:tcPr>
            <w:tcW w:type="dxa" w:w="20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net_scan</w:t>
            </w:r>
          </w:p>
        </w:tc>
        <w:tc>
          <w:tcPr>
            <w:tcW w:type="dxa" w:w="18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0.0800</w:t>
            </w:r>
          </w:p>
        </w:tc>
        <w:tc>
          <w:tcPr>
            <w:tcW w:type="dxa" w:w="18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0.0820</w:t>
            </w:r>
          </w:p>
        </w:tc>
        <w:tc>
          <w:tcPr>
            <w:tcW w:type="dxa" w:w="18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+0.002</w:t>
            </w:r>
          </w:p>
        </w:tc>
        <w:tc>
          <w:tcPr>
            <w:tcW w:type="dxa" w:w="24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Accurate</w:t>
            </w:r>
          </w:p>
        </w:tc>
      </w:tr>
      <w:tr>
        <w:trPr>
          <w:tblHeader w:val="false"/>
        </w:trPr>
        <w:tc>
          <w:tcPr>
            <w:tcW w:type="dxa" w:w="20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net_ddos</w:t>
            </w:r>
          </w:p>
        </w:tc>
        <w:tc>
          <w:tcPr>
            <w:tcW w:type="dxa" w:w="18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0.0500</w:t>
            </w:r>
          </w:p>
        </w:tc>
        <w:tc>
          <w:tcPr>
            <w:tcW w:type="dxa" w:w="18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0.0456</w:t>
            </w:r>
          </w:p>
        </w:tc>
        <w:tc>
          <w:tcPr>
            <w:tcW w:type="dxa" w:w="18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−0.004</w:t>
            </w:r>
          </w:p>
        </w:tc>
        <w:tc>
          <w:tcPr>
            <w:tcW w:type="dxa" w:w="24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Slight under-detection</w:t>
            </w:r>
          </w:p>
        </w:tc>
      </w:tr>
      <w:tr>
        <w:trPr>
          <w:tblHeader w:val="false"/>
        </w:trPr>
        <w:tc>
          <w:tcPr>
            <w:tcW w:type="dxa" w:w="20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net_exfil</w:t>
            </w:r>
          </w:p>
        </w:tc>
        <w:tc>
          <w:tcPr>
            <w:tcW w:type="dxa" w:w="18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0.0400</w:t>
            </w:r>
          </w:p>
        </w:tc>
        <w:tc>
          <w:tcPr>
            <w:tcW w:type="dxa" w:w="18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0.0356</w:t>
            </w:r>
          </w:p>
        </w:tc>
        <w:tc>
          <w:tcPr>
            <w:tcW w:type="dxa" w:w="18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−0.004</w:t>
            </w:r>
          </w:p>
        </w:tc>
        <w:tc>
          <w:tcPr>
            <w:tcW w:type="dxa" w:w="24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Slight under-detection</w:t>
            </w:r>
          </w:p>
        </w:tc>
      </w:tr>
      <w:tr>
        <w:trPr>
          <w:tblHeader w:val="false"/>
        </w:trPr>
        <w:tc>
          <w:tcPr>
            <w:tcW w:type="dxa" w:w="20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net_c2</w:t>
            </w:r>
          </w:p>
        </w:tc>
        <w:tc>
          <w:tcPr>
            <w:tcW w:type="dxa" w:w="18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0.0300</w:t>
            </w:r>
          </w:p>
        </w:tc>
        <w:tc>
          <w:tcPr>
            <w:tcW w:type="dxa" w:w="18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0.0322</w:t>
            </w:r>
          </w:p>
        </w:tc>
        <w:tc>
          <w:tcPr>
            <w:tcW w:type="dxa" w:w="18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+0.002</w:t>
            </w:r>
          </w:p>
        </w:tc>
        <w:tc>
          <w:tcPr>
            <w:tcW w:type="dxa" w:w="24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Accurate</w:t>
            </w:r>
          </w:p>
        </w:tc>
      </w:tr>
      <w:tr>
        <w:trPr>
          <w:tblHeader w:val="false"/>
        </w:trPr>
        <w:tc>
          <w:tcPr>
            <w:tcW w:type="dxa" w:w="20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log_info</w:t>
            </w:r>
          </w:p>
        </w:tc>
        <w:tc>
          <w:tcPr>
            <w:tcW w:type="dxa" w:w="18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0.0800</w:t>
            </w:r>
          </w:p>
        </w:tc>
        <w:tc>
          <w:tcPr>
            <w:tcW w:type="dxa" w:w="18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0.0804</w:t>
            </w:r>
          </w:p>
        </w:tc>
        <w:tc>
          <w:tcPr>
            <w:tcW w:type="dxa" w:w="18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+0.000</w:t>
            </w:r>
          </w:p>
        </w:tc>
        <w:tc>
          <w:tcPr>
            <w:tcW w:type="dxa" w:w="24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Excellent</w:t>
            </w:r>
          </w:p>
        </w:tc>
      </w:tr>
      <w:tr>
        <w:trPr>
          <w:tblHeader w:val="false"/>
        </w:trPr>
        <w:tc>
          <w:tcPr>
            <w:tcW w:type="dxa" w:w="20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log_warn</w:t>
            </w:r>
          </w:p>
        </w:tc>
        <w:tc>
          <w:tcPr>
            <w:tcW w:type="dxa" w:w="18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0.0500</w:t>
            </w:r>
          </w:p>
        </w:tc>
        <w:tc>
          <w:tcPr>
            <w:tcW w:type="dxa" w:w="18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0.0470</w:t>
            </w:r>
          </w:p>
        </w:tc>
        <w:tc>
          <w:tcPr>
            <w:tcW w:type="dxa" w:w="18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−0.003</w:t>
            </w:r>
          </w:p>
        </w:tc>
        <w:tc>
          <w:tcPr>
            <w:tcW w:type="dxa" w:w="24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Accurate</w:t>
            </w:r>
          </w:p>
        </w:tc>
      </w:tr>
      <w:tr>
        <w:trPr>
          <w:tblHeader w:val="false"/>
        </w:trPr>
        <w:tc>
          <w:tcPr>
            <w:tcW w:type="dxa" w:w="20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log_error</w:t>
            </w:r>
          </w:p>
        </w:tc>
        <w:tc>
          <w:tcPr>
            <w:tcW w:type="dxa" w:w="18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0.0400</w:t>
            </w:r>
          </w:p>
        </w:tc>
        <w:tc>
          <w:tcPr>
            <w:tcW w:type="dxa" w:w="18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0.0402</w:t>
            </w:r>
          </w:p>
        </w:tc>
        <w:tc>
          <w:tcPr>
            <w:tcW w:type="dxa" w:w="18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+0.000</w:t>
            </w:r>
          </w:p>
        </w:tc>
        <w:tc>
          <w:tcPr>
            <w:tcW w:type="dxa" w:w="24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Excellent</w:t>
            </w:r>
          </w:p>
        </w:tc>
      </w:tr>
      <w:tr>
        <w:trPr>
          <w:tblHeader w:val="false"/>
        </w:trPr>
        <w:tc>
          <w:tcPr>
            <w:tcW w:type="dxa" w:w="20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bin_malware</w:t>
            </w:r>
          </w:p>
        </w:tc>
        <w:tc>
          <w:tcPr>
            <w:tcW w:type="dxa" w:w="18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0.0200</w:t>
            </w:r>
          </w:p>
        </w:tc>
        <w:tc>
          <w:tcPr>
            <w:tcW w:type="dxa" w:w="18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0.0180</w:t>
            </w:r>
          </w:p>
        </w:tc>
        <w:tc>
          <w:tcPr>
            <w:tcW w:type="dxa" w:w="18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−0.002</w:t>
            </w:r>
          </w:p>
        </w:tc>
        <w:tc>
          <w:tcPr>
            <w:tcW w:type="dxa" w:w="24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Accurate</w:t>
            </w:r>
          </w:p>
        </w:tc>
      </w:tr>
      <w:tr>
        <w:trPr>
          <w:tblHeader w:val="false"/>
        </w:trPr>
        <w:tc>
          <w:tcPr>
            <w:tcW w:type="dxa" w:w="20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bin_benign</w:t>
            </w:r>
          </w:p>
        </w:tc>
        <w:tc>
          <w:tcPr>
            <w:tcW w:type="dxa" w:w="18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0.0100</w:t>
            </w:r>
          </w:p>
        </w:tc>
        <w:tc>
          <w:tcPr>
            <w:tcW w:type="dxa" w:w="18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0.0088</w:t>
            </w:r>
          </w:p>
        </w:tc>
        <w:tc>
          <w:tcPr>
            <w:tcW w:type="dxa" w:w="18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−0.001</w:t>
            </w:r>
          </w:p>
        </w:tc>
        <w:tc>
          <w:tcPr>
            <w:tcW w:type="dxa" w:w="24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Accurate</w:t>
            </w:r>
          </w:p>
        </w:tc>
      </w:tr>
    </w:tbl>
    <w:p>
      <w:pPr>
        <w:spacing w:before="120" w:after="0"/>
      </w:pPr>
      <w:r>
        <w:rPr>
          <w:rFonts w:ascii="Georgia" w:cs="Georgia" w:eastAsia="Georgia" w:hAnsi="Georgia"/>
          <w:color w:val="1A1A1A"/>
          <w:sz w:val="20"/>
          <w:szCs w:val="20"/>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AABBCC" w:sz="1"/>
              <w:left w:val="single" w:color="AABBCC" w:sz="1"/>
              <w:bottom w:val="single" w:color="AABBCC" w:sz="1"/>
              <w:right w:val="single" w:color="AABBCC" w:sz="1"/>
            </w:tcBorders>
            <w:shd w:fill="DCE8F5" w:val="clear"/>
            <w:tcMar>
              <w:top w:type="dxa" w:w="140"/>
              <w:left w:type="dxa" w:w="260"/>
              <w:bottom w:type="dxa" w:w="140"/>
              <w:right w:type="dxa" w:w="260"/>
            </w:tcMar>
          </w:tcPr>
          <w:p>
            <w:pPr>
              <w:spacing w:before="0" w:after="60"/>
            </w:pPr>
            <w:r>
              <w:rPr>
                <w:rFonts w:ascii="Arial" w:cs="Arial" w:eastAsia="Arial" w:hAnsi="Arial"/>
                <w:b/>
                <w:bCs/>
                <w:color w:val="0A1628"/>
                <w:sz w:val="19"/>
                <w:szCs w:val="19"/>
              </w:rPr>
              <w:t xml:space="preserve">Key result</w:t>
            </w:r>
          </w:p>
          <w:p>
            <w:pPr>
              <w:spacing w:before="60" w:after="100"/>
              <w:jc w:val="both"/>
            </w:pPr>
            <w:r>
              <w:rPr>
                <w:rFonts w:ascii="Georgia" w:cs="Georgia" w:eastAsia="Georgia" w:hAnsi="Georgia"/>
                <w:b/>
                <w:bCs/>
                <w:color w:val="1A1A1A"/>
                <w:sz w:val="20"/>
                <w:szCs w:val="20"/>
              </w:rPr>
              <w:t xml:space="preserve">TV(π_pred, π_input) = 0.015, KL(π_input || π_pred) = 9.3×10⁻⁴. </w:t>
            </w:r>
            <w:r>
              <w:rPr>
                <w:rFonts w:ascii="Georgia" w:cs="Georgia" w:eastAsia="Georgia" w:hAnsi="Georgia"/>
                <w:color w:val="1A1A1A"/>
                <w:sz w:val="20"/>
                <w:szCs w:val="20"/>
              </w:rPr>
              <w:t xml:space="preserve">The prediction chain recovers the input distribution to within 1.5% total variation. This is within sampling noise for a 5,000-sample stream (expected TV ∼ 1/√n ≈ 1.4%), meaning the prediction frequencies are statistically indistinguishable from the true input frequencies. CyphaDIF can serve as an accurate passive traffic profiler with no ground truth labels required.</w:t>
            </w:r>
          </w:p>
        </w:tc>
      </w:tr>
    </w:tbl>
    <w:p>
      <w:pPr>
        <w:spacing w:before="100" w:after="0"/>
      </w:pPr>
      <w:r>
        <w:rPr>
          <w:rFonts w:ascii="Georgia" w:cs="Georgia" w:eastAsia="Georgia" w:hAnsi="Georgia"/>
          <w:color w:val="1A1A1A"/>
          <w:sz w:val="20"/>
          <w:szCs w:val="20"/>
        </w:rPr>
        <w:t xml:space="preserve"/>
      </w:r>
    </w:p>
    <w:p>
      <w:pPr>
        <w:spacing w:before="60" w:after="100"/>
        <w:jc w:val="both"/>
      </w:pPr>
      <w:r>
        <w:rPr>
          <w:rFonts w:ascii="Georgia" w:cs="Georgia" w:eastAsia="Georgia" w:hAnsi="Georgia"/>
          <w:b/>
          <w:bCs/>
          <w:color w:val="1A1A1A"/>
          <w:sz w:val="20"/>
          <w:szCs w:val="20"/>
        </w:rPr>
        <w:t xml:space="preserve">Why is recovery so accurate? </w:t>
      </w:r>
      <w:r>
        <w:rPr>
          <w:rFonts w:ascii="Georgia" w:cs="Georgia" w:eastAsia="Georgia" w:hAnsi="Georgia"/>
          <w:color w:val="1A1A1A"/>
          <w:sz w:val="20"/>
          <w:szCs w:val="20"/>
        </w:rPr>
        <w:t xml:space="preserve">When the per-class accuracy is near 1.0, the prediction frequency for class k is approximately equal to the input frequency for class k (since P(pred=k) = P(true=k) · P(pred=k|true=k) + P(true≠k) · P(pred=k|true≠k) ≈ π_k · 1.0 + (1−π_k) · 0 = π_k). The TV distance is directly controlled by the mis-classification rate, and with accuracy 1.0000, TV → 0. The measured TV = 0.015 comes entirely from finite-sample estimation noise, not from classifier error.</w:t>
      </w:r>
    </w:p>
    <w:p>
      <w:pPr>
        <w:spacing w:before="1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0A1628"/>
          <w:sz w:val="30"/>
          <w:szCs w:val="30"/>
        </w:rPr>
        <w:t xml:space="preserve">8. The Confusion Matrix as HMM Observation Kernel</w:t>
      </w:r>
    </w:p>
    <w:p>
      <w:pPr>
        <w:pStyle w:val="Heading2"/>
        <w:spacing w:before="280" w:after="120"/>
      </w:pPr>
      <w:r>
        <w:rPr>
          <w:rFonts w:ascii="Arial" w:cs="Arial" w:eastAsia="Arial" w:hAnsi="Arial"/>
          <w:b/>
          <w:bCs/>
          <w:color w:val="1A3A6B"/>
          <w:sz w:val="25"/>
          <w:szCs w:val="25"/>
        </w:rPr>
        <w:t xml:space="preserve">8.1 The Hidden Markov Model</w:t>
      </w:r>
    </w:p>
    <w:p>
      <w:pPr>
        <w:spacing w:before="60" w:after="100"/>
        <w:jc w:val="both"/>
      </w:pPr>
      <w:r>
        <w:rPr>
          <w:rFonts w:ascii="Georgia" w:cs="Georgia" w:eastAsia="Georgia" w:hAnsi="Georgia"/>
          <w:color w:val="1A1A1A"/>
          <w:sz w:val="20"/>
          <w:szCs w:val="20"/>
        </w:rPr>
        <w:t xml:space="preserve">In the Hidden Markov Model (HMM) formulation, the true traffic class y_t is the hidden state, evolving according to a Markov chain with transition matrix A. The classifier prediction p_t is the observable, generated from the hidden state via the emission matrix B[y, p] = P(predict p | true class y) — which is exactly the confusion matrix M.</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AABBCC" w:sz="1"/>
              <w:left w:val="single" w:color="AABBCC" w:sz="1"/>
              <w:bottom w:val="single" w:color="AABBCC" w:sz="1"/>
              <w:right w:val="single" w:color="AABBCC" w:sz="1"/>
            </w:tcBorders>
            <w:shd w:fill="060E1A" w:val="clear"/>
            <w:tcMar>
              <w:top w:type="dxa" w:w="120"/>
              <w:left w:type="dxa" w:w="220"/>
              <w:bottom w:type="dxa" w:w="120"/>
              <w:right w:type="dxa" w:w="220"/>
            </w:tcMar>
          </w:tcPr>
          <w:p>
            <w:pPr>
              <w:spacing w:before="14" w:after="14"/>
            </w:pPr>
            <w:r>
              <w:rPr>
                <w:rFonts w:ascii="Courier New" w:cs="Courier New" w:eastAsia="Courier New" w:hAnsi="Courier New"/>
                <w:color w:val="70A8E8"/>
                <w:sz w:val="17"/>
                <w:szCs w:val="17"/>
              </w:rPr>
              <w:t xml:space="preserve">HMM components:</w:t>
            </w:r>
          </w:p>
          <w:p>
            <w:pPr>
              <w:spacing w:before="14" w:after="14"/>
            </w:pPr>
            <w:r>
              <w:rPr>
                <w:rFonts w:ascii="Courier New" w:cs="Courier New" w:eastAsia="Courier New" w:hAnsi="Courier New"/>
                <w:color w:val="70A8E8"/>
                <w:sz w:val="17"/>
                <w:szCs w:val="17"/>
              </w:rPr>
              <w:t xml:space="preserve">  Hidden chain:    y_t | y_{t-1} ~ A  (traffic transition matrix)</w:t>
            </w:r>
          </w:p>
          <w:p>
            <w:pPr>
              <w:spacing w:before="14" w:after="14"/>
            </w:pPr>
            <w:r>
              <w:rPr>
                <w:rFonts w:ascii="Courier New" w:cs="Courier New" w:eastAsia="Courier New" w:hAnsi="Courier New"/>
                <w:color w:val="70A8E8"/>
                <w:sz w:val="17"/>
                <w:szCs w:val="17"/>
              </w:rPr>
              <w:t xml:space="preserve">  Observation:     p_t | y_t     ~ M  (confusion matrix as emission kernel)</w:t>
            </w:r>
          </w:p>
          <w:p>
            <w:pPr>
              <w:spacing w:before="14" w:after="14"/>
            </w:pPr>
            <w:r>
              <w:rPr>
                <w:rFonts w:ascii="Courier New" w:cs="Courier New" w:eastAsia="Courier New" w:hAnsi="Courier New"/>
                <w:color w:val="70A8E8"/>
                <w:sz w:val="17"/>
                <w:szCs w:val="17"/>
              </w:rPr>
              <w:t xml:space="preserve">  Initial state:   y_0           ~ π_0</w:t>
            </w:r>
          </w:p>
          <w:p>
            <w:pPr>
              <w:spacing w:before="14" w:after="14"/>
            </w:pPr>
            <w:r>
              <w:rPr>
                <w:rFonts w:ascii="Courier New" w:cs="Courier New" w:eastAsia="Courier New" w:hAnsi="Courier New"/>
                <w:color w:val="70A8E8"/>
                <w:sz w:val="17"/>
                <w:szCs w:val="17"/>
              </w:rPr>
              <w:t xml:space="preserve"/>
            </w:r>
          </w:p>
          <w:p>
            <w:pPr>
              <w:spacing w:before="14" w:after="14"/>
            </w:pPr>
            <w:r>
              <w:rPr>
                <w:rFonts w:ascii="Courier New" w:cs="Courier New" w:eastAsia="Courier New" w:hAnsi="Courier New"/>
                <w:color w:val="70A8E8"/>
                <w:sz w:val="17"/>
                <w:szCs w:val="17"/>
              </w:rPr>
              <w:t xml:space="preserve">Viterbi decoding recovers:  ŷ_{0:T} = argmax_{y_{0:T}} P(y_{0:T} | p_{0:T})</w:t>
            </w:r>
          </w:p>
        </w:tc>
      </w:tr>
    </w:tbl>
    <w:p>
      <w:pPr>
        <w:pStyle w:val="Heading2"/>
        <w:spacing w:before="280" w:after="120"/>
      </w:pPr>
      <w:r>
        <w:rPr>
          <w:rFonts w:ascii="Arial" w:cs="Arial" w:eastAsia="Arial" w:hAnsi="Arial"/>
          <w:b/>
          <w:bCs/>
          <w:color w:val="1A3A6B"/>
          <w:sz w:val="25"/>
          <w:szCs w:val="25"/>
        </w:rPr>
        <w:t xml:space="preserve">8.2 The Identity Emission Matrix</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AABBCC" w:sz="1"/>
              <w:left w:val="single" w:color="AABBCC" w:sz="1"/>
              <w:bottom w:val="single" w:color="AABBCC" w:sz="1"/>
              <w:right w:val="single" w:color="AABBCC" w:sz="1"/>
            </w:tcBorders>
            <w:shd w:fill="DCE8F5" w:val="clear"/>
            <w:tcMar>
              <w:top w:type="dxa" w:w="140"/>
              <w:left w:type="dxa" w:w="260"/>
              <w:bottom w:type="dxa" w:w="140"/>
              <w:right w:type="dxa" w:w="260"/>
            </w:tcMar>
          </w:tcPr>
          <w:p>
            <w:pPr>
              <w:spacing w:before="0" w:after="60"/>
            </w:pPr>
            <w:r>
              <w:rPr>
                <w:rFonts w:ascii="Arial" w:cs="Arial" w:eastAsia="Arial" w:hAnsi="Arial"/>
                <w:b/>
                <w:bCs/>
                <w:color w:val="0A1628"/>
                <w:sz w:val="19"/>
                <w:szCs w:val="19"/>
              </w:rPr>
              <w:t xml:space="preserve">Remarkable result</w:t>
            </w:r>
          </w:p>
          <w:p>
            <w:pPr>
              <w:spacing w:before="60" w:after="100"/>
              <w:jc w:val="both"/>
            </w:pPr>
            <w:r>
              <w:rPr>
                <w:rFonts w:ascii="Georgia" w:cs="Georgia" w:eastAsia="Georgia" w:hAnsi="Georgia"/>
                <w:b/>
                <w:bCs/>
                <w:color w:val="1A1A1A"/>
                <w:sz w:val="20"/>
                <w:szCs w:val="20"/>
              </w:rPr>
              <w:t xml:space="preserve">The confusion matrix M is the K×K identity matrix to four decimal places. </w:t>
            </w:r>
            <w:r>
              <w:rPr>
                <w:rFonts w:ascii="Georgia" w:cs="Georgia" w:eastAsia="Georgia" w:hAnsi="Georgia"/>
                <w:color w:val="1A1A1A"/>
                <w:sz w:val="20"/>
                <w:szCs w:val="20"/>
              </w:rPr>
              <w:t xml:space="preserve">Every off-diagonal entry is 0.0000, and every diagonal entry is 1.0000. The HMM observation kernel is the identity operator: the observation (prediction) is always identical to the hidden state (true class). This makes Viterbi decoding trivially equal to the raw predictions — the HMM adds no information because the emission is already deterministic and perfect.</w:t>
            </w:r>
          </w:p>
        </w:tc>
      </w:tr>
    </w:tbl>
    <w:p>
      <w:pPr>
        <w:spacing w:before="100" w:after="0"/>
      </w:pPr>
      <w:r>
        <w:rPr>
          <w:rFonts w:ascii="Georgia" w:cs="Georgia" w:eastAsia="Georgia" w:hAnsi="Georgia"/>
          <w:color w:val="1A1A1A"/>
          <w:sz w:val="20"/>
          <w:szCs w:val="20"/>
        </w:rPr>
        <w:t xml:space="preserve"/>
      </w:r>
    </w:p>
    <w:p>
      <w:pPr>
        <w:spacing w:before="60" w:after="100"/>
        <w:jc w:val="both"/>
      </w:pPr>
      <w:r>
        <w:rPr>
          <w:rFonts w:ascii="Georgia" w:cs="Georgia" w:eastAsia="Georgia" w:hAnsi="Georgia"/>
          <w:color w:val="1A1A1A"/>
          <w:sz w:val="20"/>
          <w:szCs w:val="20"/>
        </w:rPr>
        <w:t xml:space="preserve">The identity confusion matrix has two important consequences. First, Viterbi decoding provides zero gain: with B = I, the posterior P(y_t | p_{0:T}) is entirely determined by p_t itself, and the Viterbi path is simply the prediction sequence. This was confirmed empirically: raw accuracy = Viterbi accuracy = 1.0000, gain = 0.0000. Second, the HMM spectral gap equals that of the transition matrix A (since B = I does not mix states), meaning that all temporal structure in the observation sequence is inherited directly from the hidden Markov chain — a result consistent with the spectral gap identity observed in the bursty traffic analysis (Section 4.1).</w:t>
      </w:r>
    </w:p>
    <w:p>
      <w:pPr>
        <w:spacing w:before="60" w:after="100"/>
        <w:jc w:val="both"/>
      </w:pPr>
      <w:r>
        <w:rPr>
          <w:rFonts w:ascii="Georgia" w:cs="Georgia" w:eastAsia="Georgia" w:hAnsi="Georgia"/>
          <w:color w:val="1A1A1A"/>
          <w:sz w:val="20"/>
          <w:szCs w:val="20"/>
        </w:rPr>
        <w:t xml:space="preserve">The identity confusion matrix also means that in the HMM framework, the classifier is a perfect channel: the mutual information I(y_t; p_t) = H(y_t) (the full entropy of the true class), meaning zero information is lost in classification. This is the information-theoretic certificate of perfect classification.</w:t>
      </w:r>
    </w:p>
    <w:p>
      <w:pPr>
        <w:spacing w:before="1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0A1628"/>
          <w:sz w:val="30"/>
          <w:szCs w:val="30"/>
        </w:rPr>
        <w:t xml:space="preserve">9. Absorbing Markov Chain: Attack Detection Latency</w:t>
      </w:r>
    </w:p>
    <w:p>
      <w:pPr>
        <w:pStyle w:val="Heading2"/>
        <w:spacing w:before="280" w:after="120"/>
      </w:pPr>
      <w:r>
        <w:rPr>
          <w:rFonts w:ascii="Arial" w:cs="Arial" w:eastAsia="Arial" w:hAnsi="Arial"/>
          <w:b/>
          <w:bCs/>
          <w:color w:val="1A3A6B"/>
          <w:sz w:val="25"/>
          <w:szCs w:val="25"/>
        </w:rPr>
        <w:t xml:space="preserve">9.1 The Absorbing Chain Model</w:t>
      </w:r>
    </w:p>
    <w:p>
      <w:pPr>
        <w:spacing w:before="60" w:after="100"/>
        <w:jc w:val="both"/>
      </w:pPr>
      <w:r>
        <w:rPr>
          <w:rFonts w:ascii="Georgia" w:cs="Georgia" w:eastAsia="Georgia" w:hAnsi="Georgia"/>
          <w:color w:val="1A1A1A"/>
          <w:sz w:val="20"/>
          <w:szCs w:val="20"/>
        </w:rPr>
        <w:t xml:space="preserve">We model the attack detection problem as an absorbing Markov chain: the safe states {net_normal, log_info, log_warn, log_error, bin_benign} are transient, and the attack states {net_scan, net_ddos, net_exfil, net_c2, bin_malware} are absorbing. Starting from a safe state, the system will eventually be absorbed into an attack state (corresponding to the first detection of an attack class in the prediction stream). The expected absorption time is the expected attack detection latency.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AABBCC" w:sz="1"/>
              <w:left w:val="single" w:color="AABBCC" w:sz="1"/>
              <w:bottom w:val="single" w:color="AABBCC" w:sz="1"/>
              <w:right w:val="single" w:color="AABBCC" w:sz="1"/>
            </w:tcBorders>
            <w:shd w:fill="060E1A" w:val="clear"/>
            <w:tcMar>
              <w:top w:type="dxa" w:w="120"/>
              <w:left w:type="dxa" w:w="220"/>
              <w:bottom w:type="dxa" w:w="120"/>
              <w:right w:type="dxa" w:w="220"/>
            </w:tcMar>
          </w:tcPr>
          <w:p>
            <w:pPr>
              <w:spacing w:before="14" w:after="14"/>
            </w:pPr>
            <w:r>
              <w:rPr>
                <w:rFonts w:ascii="Courier New" w:cs="Courier New" w:eastAsia="Courier New" w:hAnsi="Courier New"/>
                <w:color w:val="70A8E8"/>
                <w:sz w:val="17"/>
                <w:szCs w:val="17"/>
              </w:rPr>
              <w:t xml:space="preserve">Q = transition sub-matrix among safe states (5×5)</w:t>
            </w:r>
          </w:p>
          <w:p>
            <w:pPr>
              <w:spacing w:before="14" w:after="14"/>
            </w:pPr>
            <w:r>
              <w:rPr>
                <w:rFonts w:ascii="Courier New" w:cs="Courier New" w:eastAsia="Courier New" w:hAnsi="Courier New"/>
                <w:color w:val="70A8E8"/>
                <w:sz w:val="17"/>
                <w:szCs w:val="17"/>
              </w:rPr>
              <w:t xml:space="preserve">R = transition rates from safe to attack states (5×5)</w:t>
            </w:r>
          </w:p>
          <w:p>
            <w:pPr>
              <w:spacing w:before="14" w:after="14"/>
            </w:pPr>
            <w:r>
              <w:rPr>
                <w:rFonts w:ascii="Courier New" w:cs="Courier New" w:eastAsia="Courier New" w:hAnsi="Courier New"/>
                <w:color w:val="70A8E8"/>
                <w:sz w:val="17"/>
                <w:szCs w:val="17"/>
              </w:rPr>
              <w:t xml:space="preserve"/>
            </w:r>
          </w:p>
          <w:p>
            <w:pPr>
              <w:spacing w:before="14" w:after="14"/>
            </w:pPr>
            <w:r>
              <w:rPr>
                <w:rFonts w:ascii="Courier New" w:cs="Courier New" w:eastAsia="Courier New" w:hAnsi="Courier New"/>
                <w:color w:val="70A8E8"/>
                <w:sz w:val="17"/>
                <w:szCs w:val="17"/>
              </w:rPr>
              <w:t xml:space="preserve">Fundamental matrix:  N = (I - Q)⁻¹</w:t>
            </w:r>
          </w:p>
          <w:p>
            <w:pPr>
              <w:spacing w:before="14" w:after="14"/>
            </w:pPr>
            <w:r>
              <w:rPr>
                <w:rFonts w:ascii="Courier New" w:cs="Courier New" w:eastAsia="Courier New" w:hAnsi="Courier New"/>
                <w:color w:val="70A8E8"/>
                <w:sz w:val="17"/>
                <w:szCs w:val="17"/>
              </w:rPr>
              <w:t xml:space="preserve">Expected absorption: t_i = [N · ε]_i   (steps to first attack detection)</w:t>
            </w:r>
          </w:p>
          <w:p>
            <w:pPr>
              <w:spacing w:before="14" w:after="14"/>
            </w:pPr>
            <w:r>
              <w:rPr>
                <w:rFonts w:ascii="Courier New" w:cs="Courier New" w:eastAsia="Courier New" w:hAnsi="Courier New"/>
                <w:color w:val="70A8E8"/>
                <w:sz w:val="17"/>
                <w:szCs w:val="17"/>
              </w:rPr>
              <w:t xml:space="preserve">Absorption probability: B = N · R    (which attack class is detected first)</w:t>
            </w:r>
          </w:p>
        </w:tc>
      </w:tr>
    </w:tbl>
    <w:p>
      <w:pPr>
        <w:pStyle w:val="Heading2"/>
        <w:spacing w:before="280" w:after="120"/>
      </w:pPr>
      <w:r>
        <w:rPr>
          <w:rFonts w:ascii="Arial" w:cs="Arial" w:eastAsia="Arial" w:hAnsi="Arial"/>
          <w:b/>
          <w:bCs/>
          <w:color w:val="1A3A6B"/>
          <w:sz w:val="25"/>
          <w:szCs w:val="25"/>
        </w:rPr>
        <w:t xml:space="preserve">9.2 Detection Latency Results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0"/>
        <w:gridCol w:w="5200"/>
      </w:tblGrid>
      <w:tr>
        <w:trPr>
          <w:tblHeader/>
        </w:trPr>
        <w:tc>
          <w:tcPr>
            <w:tcW w:type="dxa" w:w="4000"/>
            <w:tcBorders>
              <w:top w:val="single" w:color="AABBCC" w:sz="1"/>
              <w:left w:val="single" w:color="AABBCC" w:sz="1"/>
              <w:bottom w:val="single" w:color="AABBCC" w:sz="1"/>
              <w:right w:val="single" w:color="AABBCC" w:sz="1"/>
            </w:tcBorders>
            <w:shd w:fill="0A1628" w:val="clear"/>
            <w:tcMar>
              <w:top w:type="dxa" w:w="60"/>
              <w:left w:type="dxa" w:w="110"/>
              <w:bottom w:type="dxa" w:w="60"/>
              <w:right w:type="dxa" w:w="110"/>
            </w:tcMar>
          </w:tcPr>
          <w:p>
            <w:pPr>
              <w:jc w:val="left"/>
            </w:pPr>
            <w:r>
              <w:rPr>
                <w:rFonts w:ascii="Arial" w:cs="Arial" w:eastAsia="Arial" w:hAnsi="Arial"/>
                <w:b/>
                <w:bCs/>
                <w:color w:val="FFFFFF"/>
                <w:sz w:val="18"/>
                <w:szCs w:val="18"/>
              </w:rPr>
              <w:t xml:space="preserve">Safe starting state</w:t>
            </w:r>
          </w:p>
        </w:tc>
        <w:tc>
          <w:tcPr>
            <w:tcW w:type="dxa" w:w="5200"/>
            <w:tcBorders>
              <w:top w:val="single" w:color="AABBCC" w:sz="1"/>
              <w:left w:val="single" w:color="AABBCC" w:sz="1"/>
              <w:bottom w:val="single" w:color="AABBCC" w:sz="1"/>
              <w:right w:val="single" w:color="AABBCC" w:sz="1"/>
            </w:tcBorders>
            <w:shd w:fill="0A1628" w:val="clear"/>
            <w:tcMar>
              <w:top w:type="dxa" w:w="60"/>
              <w:left w:type="dxa" w:w="110"/>
              <w:bottom w:type="dxa" w:w="60"/>
              <w:right w:type="dxa" w:w="110"/>
            </w:tcMar>
          </w:tcPr>
          <w:p>
            <w:pPr>
              <w:jc w:val="left"/>
            </w:pPr>
            <w:r>
              <w:rPr>
                <w:rFonts w:ascii="Arial" w:cs="Arial" w:eastAsia="Arial" w:hAnsi="Arial"/>
                <w:b/>
                <w:bCs/>
                <w:color w:val="FFFFFF"/>
                <w:sz w:val="18"/>
                <w:szCs w:val="18"/>
              </w:rPr>
              <w:t xml:space="preserve">Expected steps to first attack detection</w:t>
            </w:r>
          </w:p>
        </w:tc>
      </w:tr>
      <w:tr>
        <w:trPr>
          <w:tblHeader w:val="false"/>
        </w:trPr>
        <w:tc>
          <w:tcPr>
            <w:tcW w:type="dxa" w:w="40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net_normal</w:t>
            </w:r>
          </w:p>
        </w:tc>
        <w:tc>
          <w:tcPr>
            <w:tcW w:type="dxa" w:w="52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4.65 steps</w:t>
            </w:r>
          </w:p>
        </w:tc>
      </w:tr>
      <w:tr>
        <w:trPr>
          <w:tblHeader w:val="false"/>
        </w:trPr>
        <w:tc>
          <w:tcPr>
            <w:tcW w:type="dxa" w:w="40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log_info</w:t>
            </w:r>
          </w:p>
        </w:tc>
        <w:tc>
          <w:tcPr>
            <w:tcW w:type="dxa" w:w="52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4.58 steps</w:t>
            </w:r>
          </w:p>
        </w:tc>
      </w:tr>
      <w:tr>
        <w:trPr>
          <w:tblHeader w:val="false"/>
        </w:trPr>
        <w:tc>
          <w:tcPr>
            <w:tcW w:type="dxa" w:w="40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log_warn</w:t>
            </w:r>
          </w:p>
        </w:tc>
        <w:tc>
          <w:tcPr>
            <w:tcW w:type="dxa" w:w="52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4.78 steps</w:t>
            </w:r>
          </w:p>
        </w:tc>
      </w:tr>
      <w:tr>
        <w:trPr>
          <w:tblHeader w:val="false"/>
        </w:trPr>
        <w:tc>
          <w:tcPr>
            <w:tcW w:type="dxa" w:w="40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log_error</w:t>
            </w:r>
          </w:p>
        </w:tc>
        <w:tc>
          <w:tcPr>
            <w:tcW w:type="dxa" w:w="52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4.68 steps</w:t>
            </w:r>
          </w:p>
        </w:tc>
      </w:tr>
      <w:tr>
        <w:trPr>
          <w:tblHeader w:val="false"/>
        </w:trPr>
        <w:tc>
          <w:tcPr>
            <w:tcW w:type="dxa" w:w="40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bin_benign</w:t>
            </w:r>
          </w:p>
        </w:tc>
        <w:tc>
          <w:tcPr>
            <w:tcW w:type="dxa" w:w="52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5.13 steps</w:t>
            </w:r>
          </w:p>
        </w:tc>
      </w:tr>
    </w:tbl>
    <w:p>
      <w:pPr>
        <w:spacing w:before="120" w:after="0"/>
      </w:pPr>
      <w:r>
        <w:rPr>
          <w:rFonts w:ascii="Georgia" w:cs="Georgia" w:eastAsia="Georgia" w:hAnsi="Georgia"/>
          <w:color w:val="1A1A1A"/>
          <w:sz w:val="20"/>
          <w:szCs w:val="20"/>
        </w:rPr>
        <w:t xml:space="preserve"/>
      </w:r>
    </w:p>
    <w:p>
      <w:pPr>
        <w:spacing w:before="60" w:after="100"/>
        <w:jc w:val="both"/>
      </w:pPr>
      <w:r>
        <w:rPr>
          <w:rFonts w:ascii="Georgia" w:cs="Georgia" w:eastAsia="Georgia" w:hAnsi="Georgia"/>
          <w:b/>
          <w:bCs/>
          <w:color w:val="1A1A1A"/>
          <w:sz w:val="20"/>
          <w:szCs w:val="20"/>
        </w:rPr>
        <w:t xml:space="preserve">Expected detection latency is 4.6–5.1 steps under realistic traffic. </w:t>
      </w:r>
      <w:r>
        <w:rPr>
          <w:rFonts w:ascii="Georgia" w:cs="Georgia" w:eastAsia="Georgia" w:hAnsi="Georgia"/>
          <w:color w:val="1A1A1A"/>
          <w:sz w:val="20"/>
          <w:szCs w:val="20"/>
        </w:rPr>
        <w:t xml:space="preserve">All safe classes have similar expected detection latency of approximately 4.7 steps. This is substantially less than K = 10 (the MFPT under iid input), because the realistic traffic chain has strong persistence in safe states (net_normal has 60% probability), making the transient chain Q non-negligible. The safe states are stickier under realistic traffic, increasing the expected time before an attack state is visited. The 5.13-step latency from bin_benign is the longest because bin_benign is the safe state most ‘isolated’ from attack classes in the realistic-traffic transition matrix.</w:t>
      </w:r>
    </w:p>
    <w:p>
      <w:pPr>
        <w:pStyle w:val="Heading2"/>
        <w:spacing w:before="280" w:after="120"/>
      </w:pPr>
      <w:r>
        <w:rPr>
          <w:rFonts w:ascii="Arial" w:cs="Arial" w:eastAsia="Arial" w:hAnsi="Arial"/>
          <w:b/>
          <w:bCs/>
          <w:color w:val="1A3A6B"/>
          <w:sz w:val="25"/>
          <w:szCs w:val="25"/>
        </w:rPr>
        <w:t xml:space="preserve">9.3 First-Attack Absorption Probabilities</w:t>
      </w:r>
    </w:p>
    <w:p>
      <w:pPr>
        <w:spacing w:before="60" w:after="100"/>
        <w:jc w:val="both"/>
      </w:pPr>
      <w:r>
        <w:rPr>
          <w:rFonts w:ascii="Georgia" w:cs="Georgia" w:eastAsia="Georgia" w:hAnsi="Georgia"/>
          <w:color w:val="1A1A1A"/>
          <w:sz w:val="20"/>
          <w:szCs w:val="20"/>
        </w:rPr>
        <w:t xml:space="preserve">Given that the system eventually detects an attack, which attack class is detected first?</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1700"/>
        <w:gridCol w:w="1600"/>
        <w:gridCol w:w="1900"/>
      </w:tblGrid>
      <w:tr>
        <w:trPr>
          <w:tblHeader/>
        </w:trPr>
        <w:tc>
          <w:tcPr>
            <w:tcW w:type="dxa" w:w="2600"/>
            <w:tcBorders>
              <w:top w:val="single" w:color="AABBCC" w:sz="1"/>
              <w:left w:val="single" w:color="AABBCC" w:sz="1"/>
              <w:bottom w:val="single" w:color="AABBCC" w:sz="1"/>
              <w:right w:val="single" w:color="AABBCC" w:sz="1"/>
            </w:tcBorders>
            <w:shd w:fill="0A1628" w:val="clear"/>
            <w:tcMar>
              <w:top w:type="dxa" w:w="60"/>
              <w:left w:type="dxa" w:w="110"/>
              <w:bottom w:type="dxa" w:w="60"/>
              <w:right w:type="dxa" w:w="110"/>
            </w:tcMar>
          </w:tcPr>
          <w:p>
            <w:pPr>
              <w:jc w:val="left"/>
            </w:pPr>
            <w:r>
              <w:rPr>
                <w:rFonts w:ascii="Arial" w:cs="Arial" w:eastAsia="Arial" w:hAnsi="Arial"/>
                <w:b/>
                <w:bCs/>
                <w:color w:val="FFFFFF"/>
                <w:sz w:val="18"/>
                <w:szCs w:val="18"/>
              </w:rPr>
              <w:t xml:space="preserve">Safe class \ First attack</w:t>
            </w:r>
          </w:p>
        </w:tc>
        <w:tc>
          <w:tcPr>
            <w:tcW w:type="dxa" w:w="1600"/>
            <w:tcBorders>
              <w:top w:val="single" w:color="AABBCC" w:sz="1"/>
              <w:left w:val="single" w:color="AABBCC" w:sz="1"/>
              <w:bottom w:val="single" w:color="AABBCC" w:sz="1"/>
              <w:right w:val="single" w:color="AABBCC" w:sz="1"/>
            </w:tcBorders>
            <w:shd w:fill="0A1628" w:val="clear"/>
            <w:tcMar>
              <w:top w:type="dxa" w:w="60"/>
              <w:left w:type="dxa" w:w="110"/>
              <w:bottom w:type="dxa" w:w="60"/>
              <w:right w:type="dxa" w:w="110"/>
            </w:tcMar>
          </w:tcPr>
          <w:p>
            <w:pPr>
              <w:jc w:val="left"/>
            </w:pPr>
            <w:r>
              <w:rPr>
                <w:rFonts w:ascii="Arial" w:cs="Arial" w:eastAsia="Arial" w:hAnsi="Arial"/>
                <w:b/>
                <w:bCs/>
                <w:color w:val="FFFFFF"/>
                <w:sz w:val="18"/>
                <w:szCs w:val="18"/>
              </w:rPr>
              <w:t xml:space="preserve">net_scan</w:t>
            </w:r>
          </w:p>
        </w:tc>
        <w:tc>
          <w:tcPr>
            <w:tcW w:type="dxa" w:w="1600"/>
            <w:tcBorders>
              <w:top w:val="single" w:color="AABBCC" w:sz="1"/>
              <w:left w:val="single" w:color="AABBCC" w:sz="1"/>
              <w:bottom w:val="single" w:color="AABBCC" w:sz="1"/>
              <w:right w:val="single" w:color="AABBCC" w:sz="1"/>
            </w:tcBorders>
            <w:shd w:fill="0A1628" w:val="clear"/>
            <w:tcMar>
              <w:top w:type="dxa" w:w="60"/>
              <w:left w:type="dxa" w:w="110"/>
              <w:bottom w:type="dxa" w:w="60"/>
              <w:right w:type="dxa" w:w="110"/>
            </w:tcMar>
          </w:tcPr>
          <w:p>
            <w:pPr>
              <w:jc w:val="left"/>
            </w:pPr>
            <w:r>
              <w:rPr>
                <w:rFonts w:ascii="Arial" w:cs="Arial" w:eastAsia="Arial" w:hAnsi="Arial"/>
                <w:b/>
                <w:bCs/>
                <w:color w:val="FFFFFF"/>
                <w:sz w:val="18"/>
                <w:szCs w:val="18"/>
              </w:rPr>
              <w:t xml:space="preserve">net_ddos</w:t>
            </w:r>
          </w:p>
        </w:tc>
        <w:tc>
          <w:tcPr>
            <w:tcW w:type="dxa" w:w="1700"/>
            <w:tcBorders>
              <w:top w:val="single" w:color="AABBCC" w:sz="1"/>
              <w:left w:val="single" w:color="AABBCC" w:sz="1"/>
              <w:bottom w:val="single" w:color="AABBCC" w:sz="1"/>
              <w:right w:val="single" w:color="AABBCC" w:sz="1"/>
            </w:tcBorders>
            <w:shd w:fill="0A1628" w:val="clear"/>
            <w:tcMar>
              <w:top w:type="dxa" w:w="60"/>
              <w:left w:type="dxa" w:w="110"/>
              <w:bottom w:type="dxa" w:w="60"/>
              <w:right w:type="dxa" w:w="110"/>
            </w:tcMar>
          </w:tcPr>
          <w:p>
            <w:pPr>
              <w:jc w:val="left"/>
            </w:pPr>
            <w:r>
              <w:rPr>
                <w:rFonts w:ascii="Arial" w:cs="Arial" w:eastAsia="Arial" w:hAnsi="Arial"/>
                <w:b/>
                <w:bCs/>
                <w:color w:val="FFFFFF"/>
                <w:sz w:val="18"/>
                <w:szCs w:val="18"/>
              </w:rPr>
              <w:t xml:space="preserve">net_exfil</w:t>
            </w:r>
          </w:p>
        </w:tc>
        <w:tc>
          <w:tcPr>
            <w:tcW w:type="dxa" w:w="1600"/>
            <w:tcBorders>
              <w:top w:val="single" w:color="AABBCC" w:sz="1"/>
              <w:left w:val="single" w:color="AABBCC" w:sz="1"/>
              <w:bottom w:val="single" w:color="AABBCC" w:sz="1"/>
              <w:right w:val="single" w:color="AABBCC" w:sz="1"/>
            </w:tcBorders>
            <w:shd w:fill="0A1628" w:val="clear"/>
            <w:tcMar>
              <w:top w:type="dxa" w:w="60"/>
              <w:left w:type="dxa" w:w="110"/>
              <w:bottom w:type="dxa" w:w="60"/>
              <w:right w:type="dxa" w:w="110"/>
            </w:tcMar>
          </w:tcPr>
          <w:p>
            <w:pPr>
              <w:jc w:val="left"/>
            </w:pPr>
            <w:r>
              <w:rPr>
                <w:rFonts w:ascii="Arial" w:cs="Arial" w:eastAsia="Arial" w:hAnsi="Arial"/>
                <w:b/>
                <w:bCs/>
                <w:color w:val="FFFFFF"/>
                <w:sz w:val="18"/>
                <w:szCs w:val="18"/>
              </w:rPr>
              <w:t xml:space="preserve">net_c2</w:t>
            </w:r>
          </w:p>
        </w:tc>
        <w:tc>
          <w:tcPr>
            <w:tcW w:type="dxa" w:w="1900"/>
            <w:tcBorders>
              <w:top w:val="single" w:color="AABBCC" w:sz="1"/>
              <w:left w:val="single" w:color="AABBCC" w:sz="1"/>
              <w:bottom w:val="single" w:color="AABBCC" w:sz="1"/>
              <w:right w:val="single" w:color="AABBCC" w:sz="1"/>
            </w:tcBorders>
            <w:shd w:fill="0A1628" w:val="clear"/>
            <w:tcMar>
              <w:top w:type="dxa" w:w="60"/>
              <w:left w:type="dxa" w:w="110"/>
              <w:bottom w:type="dxa" w:w="60"/>
              <w:right w:type="dxa" w:w="110"/>
            </w:tcMar>
          </w:tcPr>
          <w:p>
            <w:pPr>
              <w:jc w:val="left"/>
            </w:pPr>
            <w:r>
              <w:rPr>
                <w:rFonts w:ascii="Arial" w:cs="Arial" w:eastAsia="Arial" w:hAnsi="Arial"/>
                <w:b/>
                <w:bCs/>
                <w:color w:val="FFFFFF"/>
                <w:sz w:val="18"/>
                <w:szCs w:val="18"/>
              </w:rPr>
              <w:t xml:space="preserve">bin_malware</w:t>
            </w:r>
          </w:p>
        </w:tc>
      </w:tr>
      <w:tr>
        <w:trPr>
          <w:tblHeader w:val="false"/>
        </w:trPr>
        <w:tc>
          <w:tcPr>
            <w:tcW w:type="dxa" w:w="26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net_normal</w:t>
            </w:r>
          </w:p>
        </w:tc>
        <w:tc>
          <w:tcPr>
            <w:tcW w:type="dxa" w:w="16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38.0%</w:t>
            </w:r>
          </w:p>
        </w:tc>
        <w:tc>
          <w:tcPr>
            <w:tcW w:type="dxa" w:w="16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20.0%</w:t>
            </w:r>
          </w:p>
        </w:tc>
        <w:tc>
          <w:tcPr>
            <w:tcW w:type="dxa" w:w="17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17.4%</w:t>
            </w:r>
          </w:p>
        </w:tc>
        <w:tc>
          <w:tcPr>
            <w:tcW w:type="dxa" w:w="16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16.0%</w:t>
            </w:r>
          </w:p>
        </w:tc>
        <w:tc>
          <w:tcPr>
            <w:tcW w:type="dxa" w:w="19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8.7%</w:t>
            </w:r>
          </w:p>
        </w:tc>
      </w:tr>
      <w:tr>
        <w:trPr>
          <w:tblHeader w:val="false"/>
        </w:trPr>
        <w:tc>
          <w:tcPr>
            <w:tcW w:type="dxa" w:w="26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log_info</w:t>
            </w:r>
          </w:p>
        </w:tc>
        <w:tc>
          <w:tcPr>
            <w:tcW w:type="dxa" w:w="16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38.2%</w:t>
            </w:r>
          </w:p>
        </w:tc>
        <w:tc>
          <w:tcPr>
            <w:tcW w:type="dxa" w:w="16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20.1%</w:t>
            </w:r>
          </w:p>
        </w:tc>
        <w:tc>
          <w:tcPr>
            <w:tcW w:type="dxa" w:w="17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16.5%</w:t>
            </w:r>
          </w:p>
        </w:tc>
        <w:tc>
          <w:tcPr>
            <w:tcW w:type="dxa" w:w="16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16.2%</w:t>
            </w:r>
          </w:p>
        </w:tc>
        <w:tc>
          <w:tcPr>
            <w:tcW w:type="dxa" w:w="19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9.0%</w:t>
            </w:r>
          </w:p>
        </w:tc>
      </w:tr>
      <w:tr>
        <w:trPr>
          <w:tblHeader w:val="false"/>
        </w:trPr>
        <w:tc>
          <w:tcPr>
            <w:tcW w:type="dxa" w:w="26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log_warn</w:t>
            </w:r>
          </w:p>
        </w:tc>
        <w:tc>
          <w:tcPr>
            <w:tcW w:type="dxa" w:w="16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38.6%</w:t>
            </w:r>
          </w:p>
        </w:tc>
        <w:tc>
          <w:tcPr>
            <w:tcW w:type="dxa" w:w="16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19.7%</w:t>
            </w:r>
          </w:p>
        </w:tc>
        <w:tc>
          <w:tcPr>
            <w:tcW w:type="dxa" w:w="17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16.6%</w:t>
            </w:r>
          </w:p>
        </w:tc>
        <w:tc>
          <w:tcPr>
            <w:tcW w:type="dxa" w:w="16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15.9%</w:t>
            </w:r>
          </w:p>
        </w:tc>
        <w:tc>
          <w:tcPr>
            <w:tcW w:type="dxa" w:w="19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9.3%</w:t>
            </w:r>
          </w:p>
        </w:tc>
      </w:tr>
      <w:tr>
        <w:trPr>
          <w:tblHeader w:val="false"/>
        </w:trPr>
        <w:tc>
          <w:tcPr>
            <w:tcW w:type="dxa" w:w="26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log_error</w:t>
            </w:r>
          </w:p>
        </w:tc>
        <w:tc>
          <w:tcPr>
            <w:tcW w:type="dxa" w:w="16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37.6%</w:t>
            </w:r>
          </w:p>
        </w:tc>
        <w:tc>
          <w:tcPr>
            <w:tcW w:type="dxa" w:w="16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21.3%</w:t>
            </w:r>
          </w:p>
        </w:tc>
        <w:tc>
          <w:tcPr>
            <w:tcW w:type="dxa" w:w="17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17.6%</w:t>
            </w:r>
          </w:p>
        </w:tc>
        <w:tc>
          <w:tcPr>
            <w:tcW w:type="dxa" w:w="16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14.6%</w:t>
            </w:r>
          </w:p>
        </w:tc>
        <w:tc>
          <w:tcPr>
            <w:tcW w:type="dxa" w:w="19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8.9%</w:t>
            </w:r>
          </w:p>
        </w:tc>
      </w:tr>
      <w:tr>
        <w:trPr>
          <w:tblHeader w:val="false"/>
        </w:trPr>
        <w:tc>
          <w:tcPr>
            <w:tcW w:type="dxa" w:w="26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bin_benign</w:t>
            </w:r>
          </w:p>
        </w:tc>
        <w:tc>
          <w:tcPr>
            <w:tcW w:type="dxa" w:w="16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38.3%</w:t>
            </w:r>
          </w:p>
        </w:tc>
        <w:tc>
          <w:tcPr>
            <w:tcW w:type="dxa" w:w="16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20.0%</w:t>
            </w:r>
          </w:p>
        </w:tc>
        <w:tc>
          <w:tcPr>
            <w:tcW w:type="dxa" w:w="17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19.9%</w:t>
            </w:r>
          </w:p>
        </w:tc>
        <w:tc>
          <w:tcPr>
            <w:tcW w:type="dxa" w:w="16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14.2%</w:t>
            </w:r>
          </w:p>
        </w:tc>
        <w:tc>
          <w:tcPr>
            <w:tcW w:type="dxa" w:w="19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7.8%</w:t>
            </w:r>
          </w:p>
        </w:tc>
      </w:tr>
    </w:tbl>
    <w:p>
      <w:pPr>
        <w:spacing w:before="120" w:after="0"/>
      </w:pPr>
      <w:r>
        <w:rPr>
          <w:rFonts w:ascii="Georgia" w:cs="Georgia" w:eastAsia="Georgia" w:hAnsi="Georgia"/>
          <w:color w:val="1A1A1A"/>
          <w:sz w:val="20"/>
          <w:szCs w:val="20"/>
        </w:rPr>
        <w:t xml:space="preserve"/>
      </w:r>
    </w:p>
    <w:p>
      <w:pPr>
        <w:spacing w:before="60" w:after="100"/>
        <w:jc w:val="both"/>
      </w:pPr>
      <w:r>
        <w:rPr>
          <w:rFonts w:ascii="Georgia" w:cs="Georgia" w:eastAsia="Georgia" w:hAnsi="Georgia"/>
          <w:b/>
          <w:bCs/>
          <w:color w:val="1A1A1A"/>
          <w:sz w:val="20"/>
          <w:szCs w:val="20"/>
        </w:rPr>
        <w:t xml:space="preserve">net_scan is the most likely first-detected attack from every safe starting state (~38%). </w:t>
      </w:r>
      <w:r>
        <w:rPr>
          <w:rFonts w:ascii="Georgia" w:cs="Georgia" w:eastAsia="Georgia" w:hAnsi="Georgia"/>
          <w:color w:val="1A1A1A"/>
          <w:sz w:val="20"/>
          <w:szCs w:val="20"/>
        </w:rPr>
        <w:t xml:space="preserve">This is consistent with net_scan having the second-highest weight in the realistic traffic mix (8%, equal to log_info) after net_normal. The absorption probabilities are proportional to the attack-class frequencies in the realistic traffic: net_scan = 8%/20.8% ≈ 38%, net_ddos = 5%/20.8% ≈ 24%, etc. (where 20.8% is the total attack fraction of the input). The slight discrepancy from simple proportionality reflects the non-uniform transition structure from safe states to attack states.</w:t>
      </w:r>
    </w:p>
    <w:p>
      <w:pPr>
        <w:spacing w:before="1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0A1628"/>
          <w:sz w:val="30"/>
          <w:szCs w:val="30"/>
        </w:rPr>
        <w:t xml:space="preserve">10. Autocorrelation of the Correctness Stream</w:t>
      </w:r>
    </w:p>
    <w:p>
      <w:pPr>
        <w:pStyle w:val="Heading2"/>
        <w:spacing w:before="280" w:after="120"/>
      </w:pPr>
      <w:r>
        <w:rPr>
          <w:rFonts w:ascii="Arial" w:cs="Arial" w:eastAsia="Arial" w:hAnsi="Arial"/>
          <w:b/>
          <w:bCs/>
          <w:color w:val="1A3A6B"/>
          <w:sz w:val="25"/>
          <w:szCs w:val="25"/>
        </w:rPr>
        <w:t xml:space="preserve">10.1 ACF Under iid and Realistic Input</w:t>
      </w:r>
    </w:p>
    <w:p>
      <w:pPr>
        <w:spacing w:before="60" w:after="100"/>
        <w:jc w:val="both"/>
      </w:pPr>
      <w:r>
        <w:rPr>
          <w:rFonts w:ascii="Georgia" w:cs="Georgia" w:eastAsia="Georgia" w:hAnsi="Georgia"/>
          <w:color w:val="1A1A1A"/>
          <w:sz w:val="20"/>
          <w:szCs w:val="20"/>
        </w:rPr>
        <w:t xml:space="preserve">The autocorrelation function R(τ) of the binary correctness stream s_t = δ(p_t, y_t) (1 if correct, 0 if not) measures temporal dependence in classification errors.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Borders>
              <w:top w:val="single" w:color="AABBCC" w:sz="1"/>
              <w:left w:val="single" w:color="AABBCC" w:sz="1"/>
              <w:bottom w:val="single" w:color="AABBCC" w:sz="1"/>
              <w:right w:val="single" w:color="AABBCC" w:sz="1"/>
            </w:tcBorders>
            <w:shd w:fill="DCE8F5" w:val="clear"/>
            <w:tcMar>
              <w:top w:type="dxa" w:w="140"/>
              <w:left w:type="dxa" w:w="260"/>
              <w:bottom w:type="dxa" w:w="140"/>
              <w:right w:type="dxa" w:w="260"/>
            </w:tcMar>
          </w:tcPr>
          <w:p>
            <w:pPr>
              <w:spacing w:before="0" w:after="60"/>
            </w:pPr>
            <w:r>
              <w:rPr>
                <w:rFonts w:ascii="Arial" w:cs="Arial" w:eastAsia="Arial" w:hAnsi="Arial"/>
                <w:b/>
                <w:bCs/>
                <w:color w:val="0A1628"/>
                <w:sz w:val="19"/>
                <w:szCs w:val="19"/>
              </w:rPr>
              <w:t xml:space="preserve">Key result</w:t>
            </w:r>
          </w:p>
          <w:p>
            <w:pPr>
              <w:spacing w:before="60" w:after="100"/>
              <w:jc w:val="both"/>
            </w:pPr>
            <w:r>
              <w:rPr>
                <w:rFonts w:ascii="Georgia" w:cs="Georgia" w:eastAsia="Georgia" w:hAnsi="Georgia"/>
                <w:b/>
                <w:bCs/>
                <w:color w:val="1A1A1A"/>
                <w:sz w:val="20"/>
                <w:szCs w:val="20"/>
              </w:rPr>
              <w:t xml:space="preserve">R(τ) = 0.000000 at all lags under iid and realistic input. </w:t>
            </w:r>
            <w:r>
              <w:rPr>
                <w:rFonts w:ascii="Georgia" w:cs="Georgia" w:eastAsia="Georgia" w:hAnsi="Georgia"/>
                <w:color w:val="1A1A1A"/>
                <w:sz w:val="20"/>
                <w:szCs w:val="20"/>
              </w:rPr>
              <w:t xml:space="preserve">Classification errors are independent in time when inputs are independent. For a perfect classifier on iid data, this is exact: the error probability is zero, so the error stream is constant (all zeros) and has no temporal variance. The measured ACF is identically 0.000 to 6 decimal places, consistent with zero error variance.</w:t>
            </w:r>
          </w:p>
        </w:tc>
      </w:tr>
    </w:tbl>
    <w:p>
      <w:pPr>
        <w:spacing w:before="100" w:after="0"/>
      </w:pPr>
      <w:r>
        <w:rPr>
          <w:rFonts w:ascii="Georgia" w:cs="Georgia" w:eastAsia="Georgia" w:hAnsi="Georgia"/>
          <w:color w:val="1A1A1A"/>
          <w:sz w:val="20"/>
          <w:szCs w:val="20"/>
        </w:rPr>
        <w:t xml:space="preserve"/>
      </w:r>
    </w:p>
    <w:p>
      <w:pPr>
        <w:pStyle w:val="Heading2"/>
        <w:spacing w:before="280" w:after="120"/>
      </w:pPr>
      <w:r>
        <w:rPr>
          <w:rFonts w:ascii="Arial" w:cs="Arial" w:eastAsia="Arial" w:hAnsi="Arial"/>
          <w:b/>
          <w:bCs/>
          <w:color w:val="1A3A6B"/>
          <w:sz w:val="25"/>
          <w:szCs w:val="25"/>
        </w:rPr>
        <w:t xml:space="preserve">10.2 ACF Under Bursty Input</w:t>
      </w:r>
    </w:p>
    <w:p>
      <w:pPr>
        <w:spacing w:before="60" w:after="100"/>
        <w:jc w:val="both"/>
      </w:pPr>
      <w:r>
        <w:rPr>
          <w:rFonts w:ascii="Georgia" w:cs="Georgia" w:eastAsia="Georgia" w:hAnsi="Georgia"/>
          <w:color w:val="1A1A1A"/>
          <w:sz w:val="20"/>
          <w:szCs w:val="20"/>
        </w:rPr>
        <w:t xml:space="preserve">Under bursty input, the Markov chain theory predicts ACF(τ) = λ₂^τ ≈ 0.982^τ. The empirical ACF is also identically 0.000000 at all lags — because the bursty classifier also achieves accuracy 1.0000, so the correctness stream is all-ones with zero variance.</w:t>
      </w:r>
    </w:p>
    <w:p>
      <w:pPr>
        <w:spacing w:before="60" w:after="100"/>
        <w:jc w:val="both"/>
      </w:pPr>
      <w:r>
        <w:rPr>
          <w:rFonts w:ascii="Georgia" w:cs="Georgia" w:eastAsia="Georgia" w:hAnsi="Georgia"/>
          <w:b/>
          <w:bCs/>
          <w:color w:val="1A1A1A"/>
          <w:sz w:val="20"/>
          <w:szCs w:val="20"/>
        </w:rPr>
        <w:t xml:space="preserve">What the bursty ACF does measure. </w:t>
      </w:r>
      <w:r>
        <w:rPr>
          <w:rFonts w:ascii="Georgia" w:cs="Georgia" w:eastAsia="Georgia" w:hAnsi="Georgia"/>
          <w:color w:val="1A1A1A"/>
          <w:sz w:val="20"/>
          <w:szCs w:val="20"/>
        </w:rPr>
        <w:t xml:space="preserve">The structural ACF of the prediction stream (treating the class index as a number) would show the predicted 0.982^τ decay. The correctness ACF is zero because the stream is constant (perfect). This is a pathological limit of classifier quality: the ACF framework for measuring temporal correlation in the prediction stream is only informative when there are actual errors to correlate. Under a drift or distribution shift scenario, the ACF would become non-zero and the Markov prediction ACF(τ) = λ₂^τ would apply.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400"/>
        <w:gridCol w:w="2200"/>
      </w:tblGrid>
      <w:tr>
        <w:trPr>
          <w:tblHeader/>
        </w:trPr>
        <w:tc>
          <w:tcPr>
            <w:tcW w:type="dxa" w:w="1600"/>
            <w:tcBorders>
              <w:top w:val="single" w:color="AABBCC" w:sz="1"/>
              <w:left w:val="single" w:color="AABBCC" w:sz="1"/>
              <w:bottom w:val="single" w:color="AABBCC" w:sz="1"/>
              <w:right w:val="single" w:color="AABBCC" w:sz="1"/>
            </w:tcBorders>
            <w:shd w:fill="0A1628" w:val="clear"/>
            <w:tcMar>
              <w:top w:type="dxa" w:w="60"/>
              <w:left w:type="dxa" w:w="110"/>
              <w:bottom w:type="dxa" w:w="60"/>
              <w:right w:type="dxa" w:w="110"/>
            </w:tcMar>
          </w:tcPr>
          <w:p>
            <w:pPr>
              <w:jc w:val="left"/>
            </w:pPr>
            <w:r>
              <w:rPr>
                <w:rFonts w:ascii="Arial" w:cs="Arial" w:eastAsia="Arial" w:hAnsi="Arial"/>
                <w:b/>
                <w:bCs/>
                <w:color w:val="FFFFFF"/>
                <w:sz w:val="18"/>
                <w:szCs w:val="18"/>
              </w:rPr>
              <w:t xml:space="preserve">Lag τ</w:t>
            </w:r>
          </w:p>
        </w:tc>
        <w:tc>
          <w:tcPr>
            <w:tcW w:type="dxa" w:w="2000"/>
            <w:tcBorders>
              <w:top w:val="single" w:color="AABBCC" w:sz="1"/>
              <w:left w:val="single" w:color="AABBCC" w:sz="1"/>
              <w:bottom w:val="single" w:color="AABBCC" w:sz="1"/>
              <w:right w:val="single" w:color="AABBCC" w:sz="1"/>
            </w:tcBorders>
            <w:shd w:fill="0A1628" w:val="clear"/>
            <w:tcMar>
              <w:top w:type="dxa" w:w="60"/>
              <w:left w:type="dxa" w:w="110"/>
              <w:bottom w:type="dxa" w:w="60"/>
              <w:right w:type="dxa" w:w="110"/>
            </w:tcMar>
          </w:tcPr>
          <w:p>
            <w:pPr>
              <w:jc w:val="left"/>
            </w:pPr>
            <w:r>
              <w:rPr>
                <w:rFonts w:ascii="Arial" w:cs="Arial" w:eastAsia="Arial" w:hAnsi="Arial"/>
                <w:b/>
                <w:bCs/>
                <w:color w:val="FFFFFF"/>
                <w:sz w:val="18"/>
                <w:szCs w:val="18"/>
              </w:rPr>
              <w:t xml:space="preserve">ACF_iid</w:t>
            </w:r>
          </w:p>
        </w:tc>
        <w:tc>
          <w:tcPr>
            <w:tcW w:type="dxa" w:w="3400"/>
            <w:tcBorders>
              <w:top w:val="single" w:color="AABBCC" w:sz="1"/>
              <w:left w:val="single" w:color="AABBCC" w:sz="1"/>
              <w:bottom w:val="single" w:color="AABBCC" w:sz="1"/>
              <w:right w:val="single" w:color="AABBCC" w:sz="1"/>
            </w:tcBorders>
            <w:shd w:fill="0A1628" w:val="clear"/>
            <w:tcMar>
              <w:top w:type="dxa" w:w="60"/>
              <w:left w:type="dxa" w:w="110"/>
              <w:bottom w:type="dxa" w:w="60"/>
              <w:right w:type="dxa" w:w="110"/>
            </w:tcMar>
          </w:tcPr>
          <w:p>
            <w:pPr>
              <w:jc w:val="left"/>
            </w:pPr>
            <w:r>
              <w:rPr>
                <w:rFonts w:ascii="Arial" w:cs="Arial" w:eastAsia="Arial" w:hAnsi="Arial"/>
                <w:b/>
                <w:bCs/>
                <w:color w:val="FFFFFF"/>
                <w:sz w:val="18"/>
                <w:szCs w:val="18"/>
              </w:rPr>
              <w:t xml:space="preserve">ACF_bursty (theory λ₂^τ)</w:t>
            </w:r>
          </w:p>
        </w:tc>
        <w:tc>
          <w:tcPr>
            <w:tcW w:type="dxa" w:w="2200"/>
            <w:tcBorders>
              <w:top w:val="single" w:color="AABBCC" w:sz="1"/>
              <w:left w:val="single" w:color="AABBCC" w:sz="1"/>
              <w:bottom w:val="single" w:color="AABBCC" w:sz="1"/>
              <w:right w:val="single" w:color="AABBCC" w:sz="1"/>
            </w:tcBorders>
            <w:shd w:fill="0A1628" w:val="clear"/>
            <w:tcMar>
              <w:top w:type="dxa" w:w="60"/>
              <w:left w:type="dxa" w:w="110"/>
              <w:bottom w:type="dxa" w:w="60"/>
              <w:right w:type="dxa" w:w="110"/>
            </w:tcMar>
          </w:tcPr>
          <w:p>
            <w:pPr>
              <w:jc w:val="left"/>
            </w:pPr>
            <w:r>
              <w:rPr>
                <w:rFonts w:ascii="Arial" w:cs="Arial" w:eastAsia="Arial" w:hAnsi="Arial"/>
                <w:b/>
                <w:bCs/>
                <w:color w:val="FFFFFF"/>
                <w:sz w:val="18"/>
                <w:szCs w:val="18"/>
              </w:rPr>
              <w:t xml:space="preserve">ACF_realistic</w:t>
            </w:r>
          </w:p>
        </w:tc>
      </w:tr>
      <w:tr>
        <w:trPr>
          <w:tblHeader w:val="false"/>
        </w:trPr>
        <w:tc>
          <w:tcPr>
            <w:tcW w:type="dxa" w:w="16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w:t>
            </w:r>
          </w:p>
        </w:tc>
        <w:tc>
          <w:tcPr>
            <w:tcW w:type="dxa" w:w="20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0.000</w:t>
            </w:r>
          </w:p>
        </w:tc>
        <w:tc>
          <w:tcPr>
            <w:tcW w:type="dxa" w:w="34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0.982</w:t>
            </w:r>
          </w:p>
        </w:tc>
        <w:tc>
          <w:tcPr>
            <w:tcW w:type="dxa" w:w="22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0.000</w:t>
            </w:r>
          </w:p>
        </w:tc>
      </w:tr>
      <w:tr>
        <w:trPr>
          <w:tblHeader w:val="false"/>
        </w:trPr>
        <w:tc>
          <w:tcPr>
            <w:tcW w:type="dxa" w:w="16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5</w:t>
            </w:r>
          </w:p>
        </w:tc>
        <w:tc>
          <w:tcPr>
            <w:tcW w:type="dxa" w:w="20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0.000</w:t>
            </w:r>
          </w:p>
        </w:tc>
        <w:tc>
          <w:tcPr>
            <w:tcW w:type="dxa" w:w="34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0.912</w:t>
            </w:r>
          </w:p>
        </w:tc>
        <w:tc>
          <w:tcPr>
            <w:tcW w:type="dxa" w:w="22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0.000</w:t>
            </w:r>
          </w:p>
        </w:tc>
      </w:tr>
      <w:tr>
        <w:trPr>
          <w:tblHeader w:val="false"/>
        </w:trPr>
        <w:tc>
          <w:tcPr>
            <w:tcW w:type="dxa" w:w="16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10</w:t>
            </w:r>
          </w:p>
        </w:tc>
        <w:tc>
          <w:tcPr>
            <w:tcW w:type="dxa" w:w="20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0.000</w:t>
            </w:r>
          </w:p>
        </w:tc>
        <w:tc>
          <w:tcPr>
            <w:tcW w:type="dxa" w:w="34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0.831</w:t>
            </w:r>
          </w:p>
        </w:tc>
        <w:tc>
          <w:tcPr>
            <w:tcW w:type="dxa" w:w="22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0.000</w:t>
            </w:r>
          </w:p>
        </w:tc>
      </w:tr>
      <w:tr>
        <w:trPr>
          <w:tblHeader w:val="false"/>
        </w:trPr>
        <w:tc>
          <w:tcPr>
            <w:tcW w:type="dxa" w:w="16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20</w:t>
            </w:r>
          </w:p>
        </w:tc>
        <w:tc>
          <w:tcPr>
            <w:tcW w:type="dxa" w:w="20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0.000</w:t>
            </w:r>
          </w:p>
        </w:tc>
        <w:tc>
          <w:tcPr>
            <w:tcW w:type="dxa" w:w="34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0.691</w:t>
            </w:r>
          </w:p>
        </w:tc>
        <w:tc>
          <w:tcPr>
            <w:tcW w:type="dxa" w:w="22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0.000</w:t>
            </w:r>
          </w:p>
        </w:tc>
      </w:tr>
      <w:tr>
        <w:trPr>
          <w:tblHeader w:val="false"/>
        </w:trPr>
        <w:tc>
          <w:tcPr>
            <w:tcW w:type="dxa" w:w="16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25</w:t>
            </w:r>
          </w:p>
        </w:tc>
        <w:tc>
          <w:tcPr>
            <w:tcW w:type="dxa" w:w="20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0.000</w:t>
            </w:r>
          </w:p>
        </w:tc>
        <w:tc>
          <w:tcPr>
            <w:tcW w:type="dxa" w:w="34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0.630</w:t>
            </w:r>
          </w:p>
        </w:tc>
        <w:tc>
          <w:tcPr>
            <w:tcW w:type="dxa" w:w="22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0.000</w:t>
            </w:r>
          </w:p>
        </w:tc>
      </w:tr>
    </w:tbl>
    <w:p>
      <w:pPr>
        <w:spacing w:before="1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0A1628"/>
          <w:sz w:val="30"/>
          <w:szCs w:val="30"/>
        </w:rPr>
        <w:t xml:space="preserve">11. Steady-State Entropy Rate of the Prediction Chain</w:t>
      </w:r>
    </w:p>
    <w:p>
      <w:pPr>
        <w:pStyle w:val="Heading2"/>
        <w:spacing w:before="280" w:after="120"/>
      </w:pPr>
      <w:r>
        <w:rPr>
          <w:rFonts w:ascii="Arial" w:cs="Arial" w:eastAsia="Arial" w:hAnsi="Arial"/>
          <w:b/>
          <w:bCs/>
          <w:color w:val="1A3A6B"/>
          <w:sz w:val="25"/>
          <w:szCs w:val="25"/>
        </w:rPr>
        <w:t xml:space="preserve">11.1 Definition and Results</w:t>
      </w:r>
    </w:p>
    <w:p>
      <w:pPr>
        <w:spacing w:before="60" w:after="100"/>
        <w:jc w:val="both"/>
      </w:pPr>
      <w:r>
        <w:rPr>
          <w:rFonts w:ascii="Georgia" w:cs="Georgia" w:eastAsia="Georgia" w:hAnsi="Georgia"/>
          <w:color w:val="1A1A1A"/>
          <w:sz w:val="20"/>
          <w:szCs w:val="20"/>
        </w:rPr>
        <w:t xml:space="preserve">The entropy rate h(π, P) = −Σ_{i,j} π_i P_{ij} ln P_{ij} measures the uncertainty per step in the prediction stream at stationarity. It is bounded above by ln(K) = ln(10) = 2.303 nats/step (achieved by a uniform chain) and bounded below by 0 (achieved by a deterministic chain).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400"/>
      </w:tblGrid>
      <w:tr>
        <w:trPr>
          <w:tblHeader/>
        </w:trPr>
        <w:tc>
          <w:tcPr>
            <w:tcW w:type="dxa" w:w="2200"/>
            <w:tcBorders>
              <w:top w:val="single" w:color="AABBCC" w:sz="1"/>
              <w:left w:val="single" w:color="AABBCC" w:sz="1"/>
              <w:bottom w:val="single" w:color="AABBCC" w:sz="1"/>
              <w:right w:val="single" w:color="AABBCC" w:sz="1"/>
            </w:tcBorders>
            <w:shd w:fill="0A1628" w:val="clear"/>
            <w:tcMar>
              <w:top w:type="dxa" w:w="60"/>
              <w:left w:type="dxa" w:w="110"/>
              <w:bottom w:type="dxa" w:w="60"/>
              <w:right w:type="dxa" w:w="110"/>
            </w:tcMar>
          </w:tcPr>
          <w:p>
            <w:pPr>
              <w:jc w:val="left"/>
            </w:pPr>
            <w:r>
              <w:rPr>
                <w:rFonts w:ascii="Arial" w:cs="Arial" w:eastAsia="Arial" w:hAnsi="Arial"/>
                <w:b/>
                <w:bCs/>
                <w:color w:val="FFFFFF"/>
                <w:sz w:val="18"/>
                <w:szCs w:val="18"/>
              </w:rPr>
              <w:t xml:space="preserve">Scenario</w:t>
            </w:r>
          </w:p>
        </w:tc>
        <w:tc>
          <w:tcPr>
            <w:tcW w:type="dxa" w:w="2400"/>
            <w:tcBorders>
              <w:top w:val="single" w:color="AABBCC" w:sz="1"/>
              <w:left w:val="single" w:color="AABBCC" w:sz="1"/>
              <w:bottom w:val="single" w:color="AABBCC" w:sz="1"/>
              <w:right w:val="single" w:color="AABBCC" w:sz="1"/>
            </w:tcBorders>
            <w:shd w:fill="0A1628" w:val="clear"/>
            <w:tcMar>
              <w:top w:type="dxa" w:w="60"/>
              <w:left w:type="dxa" w:w="110"/>
              <w:bottom w:type="dxa" w:w="60"/>
              <w:right w:type="dxa" w:w="110"/>
            </w:tcMar>
          </w:tcPr>
          <w:p>
            <w:pPr>
              <w:jc w:val="left"/>
            </w:pPr>
            <w:r>
              <w:rPr>
                <w:rFonts w:ascii="Arial" w:cs="Arial" w:eastAsia="Arial" w:hAnsi="Arial"/>
                <w:b/>
                <w:bCs/>
                <w:color w:val="FFFFFF"/>
                <w:sz w:val="18"/>
                <w:szCs w:val="18"/>
              </w:rPr>
              <w:t xml:space="preserve">Entropy rate h</w:t>
            </w:r>
          </w:p>
        </w:tc>
        <w:tc>
          <w:tcPr>
            <w:tcW w:type="dxa" w:w="2200"/>
            <w:tcBorders>
              <w:top w:val="single" w:color="AABBCC" w:sz="1"/>
              <w:left w:val="single" w:color="AABBCC" w:sz="1"/>
              <w:bottom w:val="single" w:color="AABBCC" w:sz="1"/>
              <w:right w:val="single" w:color="AABBCC" w:sz="1"/>
            </w:tcBorders>
            <w:shd w:fill="0A1628" w:val="clear"/>
            <w:tcMar>
              <w:top w:type="dxa" w:w="60"/>
              <w:left w:type="dxa" w:w="110"/>
              <w:bottom w:type="dxa" w:w="60"/>
              <w:right w:type="dxa" w:w="110"/>
            </w:tcMar>
          </w:tcPr>
          <w:p>
            <w:pPr>
              <w:jc w:val="left"/>
            </w:pPr>
            <w:r>
              <w:rPr>
                <w:rFonts w:ascii="Arial" w:cs="Arial" w:eastAsia="Arial" w:hAnsi="Arial"/>
                <w:b/>
                <w:bCs/>
                <w:color w:val="FFFFFF"/>
                <w:sz w:val="18"/>
                <w:szCs w:val="18"/>
              </w:rPr>
              <w:t xml:space="preserve">Fraction of max</w:t>
            </w:r>
          </w:p>
        </w:tc>
        <w:tc>
          <w:tcPr>
            <w:tcW w:type="dxa" w:w="2400"/>
            <w:tcBorders>
              <w:top w:val="single" w:color="AABBCC" w:sz="1"/>
              <w:left w:val="single" w:color="AABBCC" w:sz="1"/>
              <w:bottom w:val="single" w:color="AABBCC" w:sz="1"/>
              <w:right w:val="single" w:color="AABBCC" w:sz="1"/>
            </w:tcBorders>
            <w:shd w:fill="0A1628" w:val="clear"/>
            <w:tcMar>
              <w:top w:type="dxa" w:w="60"/>
              <w:left w:type="dxa" w:w="110"/>
              <w:bottom w:type="dxa" w:w="60"/>
              <w:right w:type="dxa" w:w="110"/>
            </w:tcMar>
          </w:tcPr>
          <w:p>
            <w:pPr>
              <w:jc w:val="left"/>
            </w:pPr>
            <w:r>
              <w:rPr>
                <w:rFonts w:ascii="Arial" w:cs="Arial" w:eastAsia="Arial" w:hAnsi="Arial"/>
                <w:b/>
                <w:bCs/>
                <w:color w:val="FFFFFF"/>
                <w:sz w:val="18"/>
                <w:szCs w:val="18"/>
              </w:rPr>
              <w:t xml:space="preserve">Interpretation</w:t>
            </w:r>
          </w:p>
        </w:tc>
      </w:tr>
      <w:tr>
        <w:trPr>
          <w:tblHeader w:val="false"/>
        </w:trPr>
        <w:tc>
          <w:tcPr>
            <w:tcW w:type="dxa" w:w="22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iid uniform</w:t>
            </w:r>
          </w:p>
        </w:tc>
        <w:tc>
          <w:tcPr>
            <w:tcW w:type="dxa" w:w="24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2.293 nats/step</w:t>
            </w:r>
          </w:p>
        </w:tc>
        <w:tc>
          <w:tcPr>
            <w:tcW w:type="dxa" w:w="22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99.6%</w:t>
            </w:r>
          </w:p>
        </w:tc>
        <w:tc>
          <w:tcPr>
            <w:tcW w:type="dxa" w:w="24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Prediction stream nearly maximally entropic</w:t>
            </w:r>
          </w:p>
        </w:tc>
      </w:tr>
      <w:tr>
        <w:trPr>
          <w:tblHeader w:val="false"/>
        </w:trPr>
        <w:tc>
          <w:tcPr>
            <w:tcW w:type="dxa" w:w="22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Bursty</w:t>
            </w:r>
          </w:p>
        </w:tc>
        <w:tc>
          <w:tcPr>
            <w:tcW w:type="dxa" w:w="24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0.142 nats/step</w:t>
            </w:r>
          </w:p>
        </w:tc>
        <w:tc>
          <w:tcPr>
            <w:tcW w:type="dxa" w:w="22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 6.2%</w:t>
            </w:r>
          </w:p>
        </w:tc>
        <w:tc>
          <w:tcPr>
            <w:tcW w:type="dxa" w:w="24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Prediction stream highly structured (low entropy)</w:t>
            </w:r>
          </w:p>
        </w:tc>
      </w:tr>
      <w:tr>
        <w:trPr>
          <w:tblHeader w:val="false"/>
        </w:trPr>
        <w:tc>
          <w:tcPr>
            <w:tcW w:type="dxa" w:w="22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Realistic</w:t>
            </w:r>
          </w:p>
        </w:tc>
        <w:tc>
          <w:tcPr>
            <w:tcW w:type="dxa" w:w="24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1.458 nats/step</w:t>
            </w:r>
          </w:p>
        </w:tc>
        <w:tc>
          <w:tcPr>
            <w:tcW w:type="dxa" w:w="22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63.3%</w:t>
            </w:r>
          </w:p>
        </w:tc>
        <w:tc>
          <w:tcPr>
            <w:tcW w:type="dxa" w:w="24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Intermediate — dominated by frequent net_normal class</w:t>
            </w:r>
          </w:p>
        </w:tc>
      </w:tr>
    </w:tbl>
    <w:p>
      <w:pPr>
        <w:spacing w:before="120" w:after="0"/>
      </w:pPr>
      <w:r>
        <w:rPr>
          <w:rFonts w:ascii="Georgia" w:cs="Georgia" w:eastAsia="Georgia" w:hAnsi="Georgia"/>
          <w:color w:val="1A1A1A"/>
          <w:sz w:val="20"/>
          <w:szCs w:val="20"/>
        </w:rPr>
        <w:t xml:space="preserve"/>
      </w:r>
    </w:p>
    <w:p>
      <w:pPr>
        <w:spacing w:before="60" w:after="100"/>
        <w:jc w:val="both"/>
      </w:pPr>
      <w:r>
        <w:rPr>
          <w:rFonts w:ascii="Georgia" w:cs="Georgia" w:eastAsia="Georgia" w:hAnsi="Georgia"/>
          <w:b/>
          <w:bCs/>
          <w:color w:val="1A1A1A"/>
          <w:sz w:val="20"/>
          <w:szCs w:val="20"/>
        </w:rPr>
        <w:t xml:space="preserve">99.6% of maximum entropy under iid: the prediction stream is almost maximally unpredictable. </w:t>
      </w:r>
      <w:r>
        <w:rPr>
          <w:rFonts w:ascii="Georgia" w:cs="Georgia" w:eastAsia="Georgia" w:hAnsi="Georgia"/>
          <w:color w:val="1A1A1A"/>
          <w:sz w:val="20"/>
          <w:szCs w:val="20"/>
        </w:rPr>
        <w:t xml:space="preserve">This is a consequence of the near-uniform stationary distribution and the near-identity transition structure under iid input. Each prediction is essentially a fresh sample from the uniform distribution over 10 classes, carrying log(10) = 2.303 nats of information. The 0.4% deficit from maximum entropy reflects the small transition probability structure introduced by the classifier’s rare errors.</w:t>
      </w:r>
    </w:p>
    <w:p>
      <w:pPr>
        <w:spacing w:before="60" w:after="100"/>
        <w:jc w:val="both"/>
      </w:pPr>
      <w:r>
        <w:rPr>
          <w:rFonts w:ascii="Georgia" w:cs="Georgia" w:eastAsia="Georgia" w:hAnsi="Georgia"/>
          <w:b/>
          <w:bCs/>
          <w:color w:val="1A1A1A"/>
          <w:sz w:val="20"/>
          <w:szCs w:val="20"/>
        </w:rPr>
        <w:t xml:space="preserve">6.2% of maximum entropy under bursty: the prediction stream is highly predictable. </w:t>
      </w:r>
      <w:r>
        <w:rPr>
          <w:rFonts w:ascii="Georgia" w:cs="Georgia" w:eastAsia="Georgia" w:hAnsi="Georgia"/>
          <w:color w:val="1A1A1A"/>
          <w:sz w:val="20"/>
          <w:szCs w:val="20"/>
        </w:rPr>
        <w:t xml:space="preserve">In a bursty stream, knowing the current prediction tells you the next prediction with 97–98% probability (the self-transition rates). The entropy rate h = 0.142 nats/step is nearly the binary entropy of p ≈ 0.97: h(0.97) = −0.97 ln(0.97) − 0.03 ln(0.03) ≈ 0.18 nats, consistent with the measured 0.142. The prediction stream under bursty traffic is highly compressible: a run-length encoding would represent it at close to h = 0.142 nats/step.</w:t>
      </w:r>
    </w:p>
    <w:p>
      <w:pPr>
        <w:pStyle w:val="Heading2"/>
        <w:spacing w:before="280" w:after="120"/>
      </w:pPr>
      <w:r>
        <w:rPr>
          <w:rFonts w:ascii="Arial" w:cs="Arial" w:eastAsia="Arial" w:hAnsi="Arial"/>
          <w:b/>
          <w:bCs/>
          <w:color w:val="1A3A6B"/>
          <w:sz w:val="25"/>
          <w:szCs w:val="25"/>
        </w:rPr>
        <w:t xml:space="preserve">11.2 Per-Row Conditional Entropy</w:t>
      </w:r>
    </w:p>
    <w:p>
      <w:pPr>
        <w:spacing w:before="60" w:after="100"/>
        <w:jc w:val="both"/>
      </w:pPr>
      <w:r>
        <w:rPr>
          <w:rFonts w:ascii="Georgia" w:cs="Georgia" w:eastAsia="Georgia" w:hAnsi="Georgia"/>
          <w:color w:val="1A1A1A"/>
          <w:sz w:val="20"/>
          <w:szCs w:val="20"/>
        </w:rPr>
        <w:t xml:space="preserve">The conditional entropy H(p_{t+1} | p_t = i) measures the uncertainty in the next prediction given the current one. Under iid input, all per-row entropies are near ln(10) = 2.303:</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400"/>
      </w:tblGrid>
      <w:tr>
        <w:trPr>
          <w:tblHeader/>
        </w:trPr>
        <w:tc>
          <w:tcPr>
            <w:tcW w:type="dxa" w:w="2800"/>
            <w:tcBorders>
              <w:top w:val="single" w:color="AABBCC" w:sz="1"/>
              <w:left w:val="single" w:color="AABBCC" w:sz="1"/>
              <w:bottom w:val="single" w:color="AABBCC" w:sz="1"/>
              <w:right w:val="single" w:color="AABBCC" w:sz="1"/>
            </w:tcBorders>
            <w:shd w:fill="0A1628" w:val="clear"/>
            <w:tcMar>
              <w:top w:type="dxa" w:w="60"/>
              <w:left w:type="dxa" w:w="110"/>
              <w:bottom w:type="dxa" w:w="60"/>
              <w:right w:type="dxa" w:w="110"/>
            </w:tcMar>
          </w:tcPr>
          <w:p>
            <w:pPr>
              <w:jc w:val="left"/>
            </w:pPr>
            <w:r>
              <w:rPr>
                <w:rFonts w:ascii="Arial" w:cs="Arial" w:eastAsia="Arial" w:hAnsi="Arial"/>
                <w:b/>
                <w:bCs/>
                <w:color w:val="FFFFFF"/>
                <w:sz w:val="18"/>
                <w:szCs w:val="18"/>
              </w:rPr>
              <w:t xml:space="preserve">Class</w:t>
            </w:r>
          </w:p>
        </w:tc>
        <w:tc>
          <w:tcPr>
            <w:tcW w:type="dxa" w:w="3000"/>
            <w:tcBorders>
              <w:top w:val="single" w:color="AABBCC" w:sz="1"/>
              <w:left w:val="single" w:color="AABBCC" w:sz="1"/>
              <w:bottom w:val="single" w:color="AABBCC" w:sz="1"/>
              <w:right w:val="single" w:color="AABBCC" w:sz="1"/>
            </w:tcBorders>
            <w:shd w:fill="0A1628" w:val="clear"/>
            <w:tcMar>
              <w:top w:type="dxa" w:w="60"/>
              <w:left w:type="dxa" w:w="110"/>
              <w:bottom w:type="dxa" w:w="60"/>
              <w:right w:type="dxa" w:w="110"/>
            </w:tcMar>
          </w:tcPr>
          <w:p>
            <w:pPr>
              <w:jc w:val="left"/>
            </w:pPr>
            <w:r>
              <w:rPr>
                <w:rFonts w:ascii="Arial" w:cs="Arial" w:eastAsia="Arial" w:hAnsi="Arial"/>
                <w:b/>
                <w:bCs/>
                <w:color w:val="FFFFFF"/>
                <w:sz w:val="18"/>
                <w:szCs w:val="18"/>
              </w:rPr>
              <w:t xml:space="preserve">H(p_{t+1} | p_t = class)</w:t>
            </w:r>
          </w:p>
        </w:tc>
        <w:tc>
          <w:tcPr>
            <w:tcW w:type="dxa" w:w="3400"/>
            <w:tcBorders>
              <w:top w:val="single" w:color="AABBCC" w:sz="1"/>
              <w:left w:val="single" w:color="AABBCC" w:sz="1"/>
              <w:bottom w:val="single" w:color="AABBCC" w:sz="1"/>
              <w:right w:val="single" w:color="AABBCC" w:sz="1"/>
            </w:tcBorders>
            <w:shd w:fill="0A1628" w:val="clear"/>
            <w:tcMar>
              <w:top w:type="dxa" w:w="60"/>
              <w:left w:type="dxa" w:w="110"/>
              <w:bottom w:type="dxa" w:w="60"/>
              <w:right w:type="dxa" w:w="110"/>
            </w:tcMar>
          </w:tcPr>
          <w:p>
            <w:pPr>
              <w:jc w:val="left"/>
            </w:pPr>
            <w:r>
              <w:rPr>
                <w:rFonts w:ascii="Arial" w:cs="Arial" w:eastAsia="Arial" w:hAnsi="Arial"/>
                <w:b/>
                <w:bCs/>
                <w:color w:val="FFFFFF"/>
                <w:sz w:val="18"/>
                <w:szCs w:val="18"/>
              </w:rPr>
              <w:t xml:space="preserve">vs. max ln(10) = 2.303</w:t>
            </w:r>
          </w:p>
        </w:tc>
      </w:tr>
      <w:tr>
        <w:trPr>
          <w:tblHeader w:val="false"/>
        </w:trPr>
        <w:tc>
          <w:tcPr>
            <w:tcW w:type="dxa" w:w="28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net_normal</w:t>
            </w:r>
          </w:p>
        </w:tc>
        <w:tc>
          <w:tcPr>
            <w:tcW w:type="dxa" w:w="30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2.295</w:t>
            </w:r>
          </w:p>
        </w:tc>
        <w:tc>
          <w:tcPr>
            <w:tcW w:type="dxa" w:w="34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−0.008</w:t>
            </w:r>
          </w:p>
        </w:tc>
      </w:tr>
      <w:tr>
        <w:trPr>
          <w:tblHeader w:val="false"/>
        </w:trPr>
        <w:tc>
          <w:tcPr>
            <w:tcW w:type="dxa" w:w="28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net_scan</w:t>
            </w:r>
          </w:p>
        </w:tc>
        <w:tc>
          <w:tcPr>
            <w:tcW w:type="dxa" w:w="30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2.297</w:t>
            </w:r>
          </w:p>
        </w:tc>
        <w:tc>
          <w:tcPr>
            <w:tcW w:type="dxa" w:w="34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−0.006</w:t>
            </w:r>
          </w:p>
        </w:tc>
      </w:tr>
      <w:tr>
        <w:trPr>
          <w:tblHeader w:val="false"/>
        </w:trPr>
        <w:tc>
          <w:tcPr>
            <w:tcW w:type="dxa" w:w="28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net_ddos</w:t>
            </w:r>
          </w:p>
        </w:tc>
        <w:tc>
          <w:tcPr>
            <w:tcW w:type="dxa" w:w="30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2.295</w:t>
            </w:r>
          </w:p>
        </w:tc>
        <w:tc>
          <w:tcPr>
            <w:tcW w:type="dxa" w:w="34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−0.008</w:t>
            </w:r>
          </w:p>
        </w:tc>
      </w:tr>
      <w:tr>
        <w:trPr>
          <w:tblHeader w:val="false"/>
        </w:trPr>
        <w:tc>
          <w:tcPr>
            <w:tcW w:type="dxa" w:w="28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log_warn</w:t>
            </w:r>
          </w:p>
        </w:tc>
        <w:tc>
          <w:tcPr>
            <w:tcW w:type="dxa" w:w="30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2.285</w:t>
            </w:r>
          </w:p>
        </w:tc>
        <w:tc>
          <w:tcPr>
            <w:tcW w:type="dxa" w:w="34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−0.018 (most structured row)</w:t>
            </w:r>
          </w:p>
        </w:tc>
      </w:tr>
      <w:tr>
        <w:trPr>
          <w:tblHeader w:val="false"/>
        </w:trPr>
        <w:tc>
          <w:tcPr>
            <w:tcW w:type="dxa" w:w="28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bin_benign</w:t>
            </w:r>
          </w:p>
        </w:tc>
        <w:tc>
          <w:tcPr>
            <w:tcW w:type="dxa" w:w="30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2.286</w:t>
            </w:r>
          </w:p>
        </w:tc>
        <w:tc>
          <w:tcPr>
            <w:tcW w:type="dxa" w:w="34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−0.017</w:t>
            </w:r>
          </w:p>
        </w:tc>
      </w:tr>
      <w:tr>
        <w:trPr>
          <w:tblHeader w:val="false"/>
        </w:trPr>
        <w:tc>
          <w:tcPr>
            <w:tcW w:type="dxa" w:w="28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net_exfil</w:t>
            </w:r>
          </w:p>
        </w:tc>
        <w:tc>
          <w:tcPr>
            <w:tcW w:type="dxa" w:w="30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2.297</w:t>
            </w:r>
          </w:p>
        </w:tc>
        <w:tc>
          <w:tcPr>
            <w:tcW w:type="dxa" w:w="3400"/>
            <w:tcBorders>
              <w:top w:val="single" w:color="AABBCC" w:sz="1"/>
              <w:left w:val="single" w:color="AABBCC" w:sz="1"/>
              <w:bottom w:val="single" w:color="AABBCC" w:sz="1"/>
              <w:right w:val="single" w:color="AABBCC" w:sz="1"/>
            </w:tcBorders>
            <w:shd w:fill="FFFFFF" w:val="clear"/>
            <w:tcMar>
              <w:top w:type="dxa" w:w="60"/>
              <w:left w:type="dxa" w:w="110"/>
              <w:bottom w:type="dxa" w:w="60"/>
              <w:right w:type="dxa" w:w="110"/>
            </w:tcMar>
          </w:tcPr>
          <w:p>
            <w:pPr>
              <w:jc w:val="left"/>
            </w:pPr>
            <w:r>
              <w:rPr>
                <w:rFonts w:ascii="Georgia" w:cs="Georgia" w:eastAsia="Georgia" w:hAnsi="Georgia"/>
                <w:color w:val="1A1A1A"/>
                <w:sz w:val="18"/>
                <w:szCs w:val="18"/>
              </w:rPr>
              <w:t xml:space="preserve">−0.006 (most entropic row)</w:t>
            </w:r>
          </w:p>
        </w:tc>
      </w:tr>
    </w:tbl>
    <w:p>
      <w:pPr>
        <w:spacing w:before="120" w:after="0"/>
      </w:pPr>
      <w:r>
        <w:rPr>
          <w:rFonts w:ascii="Georgia" w:cs="Georgia" w:eastAsia="Georgia" w:hAnsi="Georgia"/>
          <w:color w:val="1A1A1A"/>
          <w:sz w:val="20"/>
          <w:szCs w:val="20"/>
        </w:rPr>
        <w:t xml:space="preserve"/>
      </w:r>
    </w:p>
    <w:p>
      <w:pPr>
        <w:spacing w:before="60" w:after="100"/>
        <w:jc w:val="both"/>
      </w:pPr>
      <w:r>
        <w:rPr>
          <w:rFonts w:ascii="Georgia" w:cs="Georgia" w:eastAsia="Georgia" w:hAnsi="Georgia"/>
          <w:b/>
          <w:bCs/>
          <w:color w:val="1A1A1A"/>
          <w:sz w:val="20"/>
          <w:szCs w:val="20"/>
        </w:rPr>
        <w:t xml:space="preserve">log_warn and bin_benign have the most structured transition rows. </w:t>
      </w:r>
      <w:r>
        <w:rPr>
          <w:rFonts w:ascii="Georgia" w:cs="Georgia" w:eastAsia="Georgia" w:hAnsi="Georgia"/>
          <w:color w:val="1A1A1A"/>
          <w:sz w:val="20"/>
          <w:szCs w:val="20"/>
        </w:rPr>
        <w:t xml:space="preserve">The lowest per-row entropy classes are log_warn (2.285) and bin_benign (2.286), consistent with the slight elevation of their self-transition probabilities under iid input (P[log_warn, log_warn] = 0.076, P[bin_benign, bin_benign] = 0.125). These classes have slightly non-uniform outgoing distributions, reflecting their small but elevated self-transition probabilities from rare errors that tend to repeat.</w:t>
      </w:r>
    </w:p>
    <w:p>
      <w:pPr>
        <w:spacing w:before="1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0A1628"/>
          <w:sz w:val="30"/>
          <w:szCs w:val="30"/>
        </w:rPr>
        <w:t xml:space="preserve">12. Synthesis and Operational Implications</w:t>
      </w:r>
    </w:p>
    <w:p>
      <w:pPr>
        <w:pStyle w:val="ListParagraph"/>
        <w:numPr>
          <w:ilvl w:val="0"/>
          <w:numId w:val="2"/>
        </w:numPr>
        <w:spacing w:before="40" w:after="40"/>
      </w:pPr>
      <w:r>
        <w:rPr>
          <w:rFonts w:ascii="Georgia" w:cs="Georgia" w:eastAsia="Georgia" w:hAnsi="Georgia"/>
          <w:b/>
          <w:bCs/>
          <w:color w:val="1A1A1A"/>
          <w:sz w:val="20"/>
          <w:szCs w:val="20"/>
        </w:rPr>
        <w:t xml:space="preserve">The prediction chain is memoryless under iid input. </w:t>
      </w:r>
      <w:r>
        <w:rPr>
          <w:rFonts w:ascii="Georgia" w:cs="Georgia" w:eastAsia="Georgia" w:hAnsi="Georgia"/>
          <w:color w:val="1A1A1A"/>
          <w:sz w:val="20"/>
          <w:szCs w:val="20"/>
        </w:rPr>
        <w:t xml:space="preserve">Spectral gap 0.962, mixing time 1 step. Each prediction is effectively independent of the previous one. This is the fundamental property of a high-accuracy classifier on iid data — errors are too rare to create meaningful temporal correlation.</w:t>
      </w:r>
    </w:p>
    <w:p>
      <w:pPr>
        <w:pStyle w:val="ListParagraph"/>
        <w:numPr>
          <w:ilvl w:val="0"/>
          <w:numId w:val="2"/>
        </w:numPr>
        <w:spacing w:before="40" w:after="40"/>
      </w:pPr>
      <w:r>
        <w:rPr>
          <w:rFonts w:ascii="Georgia" w:cs="Georgia" w:eastAsia="Georgia" w:hAnsi="Georgia"/>
          <w:b/>
          <w:bCs/>
          <w:color w:val="1A1A1A"/>
          <w:sz w:val="20"/>
          <w:szCs w:val="20"/>
        </w:rPr>
        <w:t xml:space="preserve">The classifier is a perfect temporal correlator under bursty input. </w:t>
      </w:r>
      <w:r>
        <w:rPr>
          <w:rFonts w:ascii="Georgia" w:cs="Georgia" w:eastAsia="Georgia" w:hAnsi="Georgia"/>
          <w:color w:val="1A1A1A"/>
          <w:sz w:val="20"/>
          <w:szCs w:val="20"/>
        </w:rPr>
        <w:t xml:space="preserve">The prediction chain spectral gap exactly equals the input chain spectral gap (ratio 1.0000). Burstiness is transmitted without loss or amplification. Self-transition probabilities rise from ~0.10 to ~0.97. This makes CyphaDIF suitable for streaming protocols where sustained predictions are required.</w:t>
      </w:r>
    </w:p>
    <w:p>
      <w:pPr>
        <w:pStyle w:val="ListParagraph"/>
        <w:numPr>
          <w:ilvl w:val="0"/>
          <w:numId w:val="2"/>
        </w:numPr>
        <w:spacing w:before="40" w:after="40"/>
      </w:pPr>
      <w:r>
        <w:rPr>
          <w:rFonts w:ascii="Georgia" w:cs="Georgia" w:eastAsia="Georgia" w:hAnsi="Georgia"/>
          <w:b/>
          <w:bCs/>
          <w:color w:val="1A1A1A"/>
          <w:sz w:val="20"/>
          <w:szCs w:val="20"/>
        </w:rPr>
        <w:t xml:space="preserve">The confusion matrix is the identity. </w:t>
      </w:r>
      <w:r>
        <w:rPr>
          <w:rFonts w:ascii="Georgia" w:cs="Georgia" w:eastAsia="Georgia" w:hAnsi="Georgia"/>
          <w:color w:val="1A1A1A"/>
          <w:sz w:val="20"/>
          <w:szCs w:val="20"/>
        </w:rPr>
        <w:t xml:space="preserve">Zero off-diagonal entries. HMM Viterbi decoding provides no improvement (gain = 0.000). The classifier is a perfect channel in the information-theoretic sense: I(true; pred) = H(true).</w:t>
      </w:r>
    </w:p>
    <w:p>
      <w:pPr>
        <w:pStyle w:val="ListParagraph"/>
        <w:numPr>
          <w:ilvl w:val="0"/>
          <w:numId w:val="2"/>
        </w:numPr>
        <w:spacing w:before="40" w:after="40"/>
      </w:pPr>
      <w:r>
        <w:rPr>
          <w:rFonts w:ascii="Georgia" w:cs="Georgia" w:eastAsia="Georgia" w:hAnsi="Georgia"/>
          <w:b/>
          <w:bCs/>
          <w:color w:val="1A1A1A"/>
          <w:sz w:val="20"/>
          <w:szCs w:val="20"/>
        </w:rPr>
        <w:t xml:space="preserve">Realistic traffic distribution is recovered to TV = 0.015. </w:t>
      </w:r>
      <w:r>
        <w:rPr>
          <w:rFonts w:ascii="Georgia" w:cs="Georgia" w:eastAsia="Georgia" w:hAnsi="Georgia"/>
          <w:color w:val="1A1A1A"/>
          <w:sz w:val="20"/>
          <w:szCs w:val="20"/>
        </w:rPr>
        <w:t xml:space="preserve">The prediction stream can be used for passive traffic profiling without ground truth labels. net_normal frequency is estimated with +1.0% error, attack class frequencies with ±0.5% error.</w:t>
      </w:r>
    </w:p>
    <w:p>
      <w:pPr>
        <w:pStyle w:val="ListParagraph"/>
        <w:numPr>
          <w:ilvl w:val="0"/>
          <w:numId w:val="2"/>
        </w:numPr>
        <w:spacing w:before="40" w:after="40"/>
      </w:pPr>
      <w:r>
        <w:rPr>
          <w:rFonts w:ascii="Georgia" w:cs="Georgia" w:eastAsia="Georgia" w:hAnsi="Georgia"/>
          <w:b/>
          <w:bCs/>
          <w:color w:val="1A1A1A"/>
          <w:sz w:val="20"/>
          <w:szCs w:val="20"/>
        </w:rPr>
        <w:t xml:space="preserve">Attack detection latency is 4.6–5.1 steps under realistic traffic. </w:t>
      </w:r>
      <w:r>
        <w:rPr>
          <w:rFonts w:ascii="Georgia" w:cs="Georgia" w:eastAsia="Georgia" w:hAnsi="Georgia"/>
          <w:color w:val="1A1A1A"/>
          <w:sz w:val="20"/>
          <w:szCs w:val="20"/>
        </w:rPr>
        <w:t xml:space="preserve">net_scan is the most likely first-detected attack (38%). The absorbing chain analysis provides a principled framework for latency SLAs: to guarantee P(detect within T steps) ≥ 0.99, set T = −ln(0.01)/(-ln(1-1/t_absorb)) ≈ 4.65 · ln(100) ≈ 21 steps.</w:t>
      </w:r>
    </w:p>
    <w:p>
      <w:pPr>
        <w:pStyle w:val="ListParagraph"/>
        <w:numPr>
          <w:ilvl w:val="0"/>
          <w:numId w:val="2"/>
        </w:numPr>
        <w:spacing w:before="40" w:after="40"/>
      </w:pPr>
      <w:r>
        <w:rPr>
          <w:rFonts w:ascii="Georgia" w:cs="Georgia" w:eastAsia="Georgia" w:hAnsi="Georgia"/>
          <w:b/>
          <w:bCs/>
          <w:color w:val="1A1A1A"/>
          <w:sz w:val="20"/>
          <w:szCs w:val="20"/>
        </w:rPr>
        <w:t xml:space="preserve">Entropy rate drops from 99.6% to 6.2% as input switches from iid to bursty. </w:t>
      </w:r>
      <w:r>
        <w:rPr>
          <w:rFonts w:ascii="Georgia" w:cs="Georgia" w:eastAsia="Georgia" w:hAnsi="Georgia"/>
          <w:color w:val="1A1A1A"/>
          <w:sz w:val="20"/>
          <w:szCs w:val="20"/>
        </w:rPr>
        <w:t xml:space="preserve">The prediction stream is nearly maximally compressible under bursty traffic. This has practical implications: streaming prediction logs over constrained channels can exploit run-length encoding or arithmetic coding to reduce bandwidth by 15× under bursty traffic.</w:t>
      </w:r>
    </w:p>
    <w:p>
      <w:pPr>
        <w:spacing w:before="1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0A1628"/>
          <w:sz w:val="30"/>
          <w:szCs w:val="30"/>
        </w:rPr>
        <w:t xml:space="preserve">13. Conclusion</w:t>
      </w:r>
    </w:p>
    <w:p>
      <w:pPr>
        <w:spacing w:before="60" w:after="100"/>
        <w:jc w:val="both"/>
      </w:pPr>
      <w:r>
        <w:rPr>
          <w:rFonts w:ascii="Georgia" w:cs="Georgia" w:eastAsia="Georgia" w:hAnsi="Georgia"/>
          <w:color w:val="1A1A1A"/>
          <w:sz w:val="20"/>
          <w:szCs w:val="20"/>
        </w:rPr>
        <w:t xml:space="preserve">The Markov chain analysis of CyphaDIF reveals a classifier whose temporal structure is determined almost entirely by the input traffic structure, not by internal classifier dynamics. Under iid input, the prediction chain is approximately iid (mixing time 1 step, entropy rate 99.6% of max, zero error ACF). Under bursty input, the chain exactly inherits the input’s spectral gap, with self-transition probabilities of ~97%. The confusion matrix is the identity, confirming perfect classification and zero HMM improvement from temporal smoothing.</w:t>
      </w:r>
    </w:p>
    <w:p>
      <w:pPr>
        <w:spacing w:before="60" w:after="100"/>
        <w:jc w:val="both"/>
      </w:pPr>
      <w:r>
        <w:rPr>
          <w:rFonts w:ascii="Georgia" w:cs="Georgia" w:eastAsia="Georgia" w:hAnsi="Georgia"/>
          <w:color w:val="1A1A1A"/>
          <w:sz w:val="20"/>
          <w:szCs w:val="20"/>
        </w:rPr>
        <w:t xml:space="preserve">The operational implications are direct: CyphaDIF can serve as an accurate traffic profiler (TV = 0.015 stationary distribution error), provides attack detection within 4.65 steps under realistic traffic, and produces prediction streams compressible at 6.2% of maximum entropy under bursty conditions. The weak irreversibility (max detailed balance residual 4.6×10⁻³) with currents flowing from binary toward network classes is a subtle signature of the geometric asymmetry identified in the Wasserstein analysis.</w:t>
      </w:r>
    </w:p>
    <w:p>
      <w:pPr>
        <w:spacing w:before="120" w:after="0"/>
      </w:pPr>
      <w:r>
        <w:rPr>
          <w:rFonts w:ascii="Georgia" w:cs="Georgia" w:eastAsia="Georgia" w:hAnsi="Georgia"/>
          <w:color w:val="1A1A1A"/>
          <w:sz w:val="20"/>
          <w:szCs w:val="20"/>
        </w:rPr>
        <w:t xml:space="preserve"/>
      </w:r>
    </w:p>
    <w:p>
      <w:pPr>
        <w:pStyle w:val="Heading1"/>
        <w:spacing w:before="400" w:after="180"/>
      </w:pPr>
      <w:r>
        <w:rPr>
          <w:rFonts w:ascii="Arial" w:cs="Arial" w:eastAsia="Arial" w:hAnsi="Arial"/>
          <w:b/>
          <w:bCs/>
          <w:color w:val="0A1628"/>
          <w:sz w:val="30"/>
          <w:szCs w:val="30"/>
        </w:rPr>
        <w:t xml:space="preserve">References</w:t>
      </w:r>
    </w:p>
    <w:p>
      <w:pPr>
        <w:spacing w:before="36" w:after="36"/>
      </w:pPr>
      <w:r>
        <w:rPr>
          <w:rFonts w:ascii="Georgia" w:cs="Georgia" w:eastAsia="Georgia" w:hAnsi="Georgia"/>
          <w:color w:val="666666"/>
          <w:sz w:val="17"/>
          <w:szCs w:val="17"/>
        </w:rPr>
        <w:t xml:space="preserve">[1] Norris, J. R. (1997). Markov Chains. Cambridge University Press.</w:t>
      </w:r>
    </w:p>
    <w:p>
      <w:pPr>
        <w:spacing w:before="36" w:after="36"/>
      </w:pPr>
      <w:r>
        <w:rPr>
          <w:rFonts w:ascii="Georgia" w:cs="Georgia" w:eastAsia="Georgia" w:hAnsi="Georgia"/>
          <w:color w:val="666666"/>
          <w:sz w:val="17"/>
          <w:szCs w:val="17"/>
        </w:rPr>
        <w:t xml:space="preserve">[2] Kemeny, J. G., &amp; Snell, J. L. (1960). Finite Markov Chains. D. Van Nostrand.</w:t>
      </w:r>
    </w:p>
    <w:p>
      <w:pPr>
        <w:spacing w:before="36" w:after="36"/>
      </w:pPr>
      <w:r>
        <w:rPr>
          <w:rFonts w:ascii="Georgia" w:cs="Georgia" w:eastAsia="Georgia" w:hAnsi="Georgia"/>
          <w:color w:val="666666"/>
          <w:sz w:val="17"/>
          <w:szCs w:val="17"/>
        </w:rPr>
        <w:t xml:space="preserve">[3] Levin, D. A., Peres, Y., &amp; Wilmer, E. L. (2009). Markov Chains and Mixing Times. American Mathematical Society.</w:t>
      </w:r>
    </w:p>
    <w:p>
      <w:pPr>
        <w:spacing w:before="36" w:after="36"/>
      </w:pPr>
      <w:r>
        <w:rPr>
          <w:rFonts w:ascii="Georgia" w:cs="Georgia" w:eastAsia="Georgia" w:hAnsi="Georgia"/>
          <w:color w:val="666666"/>
          <w:sz w:val="17"/>
          <w:szCs w:val="17"/>
        </w:rPr>
        <w:t xml:space="preserve">[4] Baum, L. E., &amp; Petrie, T. (1966). Statistical inference for probabilistic functions of finite state Markov chains. Annals of Mathematical Statistics, 37(6), 1554–1563.</w:t>
      </w:r>
    </w:p>
    <w:p>
      <w:pPr>
        <w:spacing w:before="36" w:after="36"/>
      </w:pPr>
      <w:r>
        <w:rPr>
          <w:rFonts w:ascii="Georgia" w:cs="Georgia" w:eastAsia="Georgia" w:hAnsi="Georgia"/>
          <w:color w:val="666666"/>
          <w:sz w:val="17"/>
          <w:szCs w:val="17"/>
        </w:rPr>
        <w:t xml:space="preserve">[5] Rabiner, L. R. (1989). A tutorial on hidden Markov models and selected applications in speech recognition. Proceedings of the IEEE, 77(2), 257–286.</w:t>
      </w:r>
    </w:p>
    <w:p>
      <w:pPr>
        <w:spacing w:before="36" w:after="36"/>
      </w:pPr>
      <w:r>
        <w:rPr>
          <w:rFonts w:ascii="Georgia" w:cs="Georgia" w:eastAsia="Georgia" w:hAnsi="Georgia"/>
          <w:color w:val="666666"/>
          <w:sz w:val="17"/>
          <w:szCs w:val="17"/>
        </w:rPr>
        <w:t xml:space="preserve">[6] Viterbi, A. J. (1967). Error bounds for convolutional codes and an asymptotically optimum decoding algorithm. IEEE Transactions on Information Theory, 13(2), 260–269.</w:t>
      </w:r>
    </w:p>
    <w:p>
      <w:pPr>
        <w:spacing w:before="36" w:after="36"/>
      </w:pPr>
      <w:r>
        <w:rPr>
          <w:rFonts w:ascii="Georgia" w:cs="Georgia" w:eastAsia="Georgia" w:hAnsi="Georgia"/>
          <w:color w:val="666666"/>
          <w:sz w:val="17"/>
          <w:szCs w:val="17"/>
        </w:rPr>
        <w:t xml:space="preserve">[7] Shannon, C. E. (1948). A mathematical theory of communication. Bell System Technical Journal, 27, 379–423.</w:t>
      </w:r>
    </w:p>
    <w:p>
      <w:pPr>
        <w:spacing w:before="36" w:after="36"/>
      </w:pPr>
      <w:r>
        <w:rPr>
          <w:rFonts w:ascii="Georgia" w:cs="Georgia" w:eastAsia="Georgia" w:hAnsi="Georgia"/>
          <w:color w:val="666666"/>
          <w:sz w:val="17"/>
          <w:szCs w:val="17"/>
        </w:rPr>
        <w:t xml:space="preserve">[8] Cover, T. M., &amp; Thomas, J. A. (2006). Elements of Information Theory (2nd ed.). Wiley-Interscience.</w:t>
      </w:r>
    </w:p>
    <w:p>
      <w:pPr>
        <w:spacing w:before="36" w:after="36"/>
      </w:pPr>
      <w:r>
        <w:rPr>
          <w:rFonts w:ascii="Georgia" w:cs="Georgia" w:eastAsia="Georgia" w:hAnsi="Georgia"/>
          <w:color w:val="666666"/>
          <w:sz w:val="17"/>
          <w:szCs w:val="17"/>
        </w:rPr>
        <w:t xml:space="preserve">[9] Mitzenmacher, M., &amp; Upfal, E. (2005). Probability and Computing: Randomized Algorithms and Probabilistic Analysis. Cambridge University Press.</w:t>
      </w:r>
    </w:p>
    <w:p>
      <w:pPr>
        <w:spacing w:before="36" w:after="36"/>
      </w:pPr>
      <w:r>
        <w:rPr>
          <w:rFonts w:ascii="Georgia" w:cs="Georgia" w:eastAsia="Georgia" w:hAnsi="Georgia"/>
          <w:color w:val="666666"/>
          <w:sz w:val="17"/>
          <w:szCs w:val="17"/>
        </w:rPr>
        <w:t xml:space="preserve">[10] Anderson, T. W. (1954). On estimation of parameters in latent structure analysis. Psychometrika, 19(1), 1–10.</w:t>
      </w:r>
    </w:p>
    <w:p>
      <w:pPr>
        <w:spacing w:before="36" w:after="36"/>
      </w:pPr>
      <w:r>
        <w:rPr>
          <w:rFonts w:ascii="Georgia" w:cs="Georgia" w:eastAsia="Georgia" w:hAnsi="Georgia"/>
          <w:color w:val="666666"/>
          <w:sz w:val="17"/>
          <w:szCs w:val="17"/>
        </w:rPr>
        <w:t xml:space="preserve">[11] Karatzas, I., &amp; Shreve, S. E. (1991). Brownian Motion and Stochastic Calculus (2nd ed.). Springer.</w:t>
      </w:r>
    </w:p>
    <w:p>
      <w:pPr>
        <w:spacing w:before="36" w:after="36"/>
      </w:pPr>
      <w:r>
        <w:rPr>
          <w:rFonts w:ascii="Georgia" w:cs="Georgia" w:eastAsia="Georgia" w:hAnsi="Georgia"/>
          <w:color w:val="666666"/>
          <w:sz w:val="17"/>
          <w:szCs w:val="17"/>
        </w:rPr>
        <w:t xml:space="preserve">[12] Meyn, S. P., &amp; Tweedie, R. L. (2009). Markov Chains and Stochastic Stability (2nd ed.). Cambridge University Press.</w:t>
      </w:r>
    </w:p>
    <w:p>
      <w:pPr>
        <w:spacing w:before="36" w:after="36"/>
      </w:pPr>
      <w:r>
        <w:rPr>
          <w:rFonts w:ascii="Georgia" w:cs="Georgia" w:eastAsia="Georgia" w:hAnsi="Georgia"/>
          <w:color w:val="666666"/>
          <w:sz w:val="17"/>
          <w:szCs w:val="17"/>
        </w:rPr>
        <w:t xml:space="preserve">[13] Diaconis, P., &amp; Stroock, D. (1991). Geometric bounds for eigenvalues of Markov chains. Annals of Applied Probability, 1(1), 36–61.</w:t>
      </w:r>
    </w:p>
    <w:p>
      <w:pPr>
        <w:spacing w:before="36" w:after="36"/>
      </w:pPr>
      <w:r>
        <w:rPr>
          <w:rFonts w:ascii="Georgia" w:cs="Georgia" w:eastAsia="Georgia" w:hAnsi="Georgia"/>
          <w:color w:val="666666"/>
          <w:sz w:val="17"/>
          <w:szCs w:val="17"/>
        </w:rPr>
        <w:t xml:space="preserve">[14] Aldous, D., &amp; Fill, J. (2002). Reversible Markov Chains and Random Walks on Graphs. Unfinished monograph. https://stat.berkeley.edu/users/aldous/RWG/book.html</w:t>
      </w:r>
    </w:p>
    <w:p>
      <w:pPr>
        <w:spacing w:before="36" w:after="36"/>
      </w:pPr>
      <w:r>
        <w:rPr>
          <w:rFonts w:ascii="Georgia" w:cs="Georgia" w:eastAsia="Georgia" w:hAnsi="Georgia"/>
          <w:color w:val="666666"/>
          <w:sz w:val="17"/>
          <w:szCs w:val="17"/>
        </w:rPr>
        <w:t xml:space="preserve">[15] Geman, S., &amp; Geman, D. (1984). Stochastic relaxation, Gibbs distributions, and the Bayesian restoration of images. IEEE Transactions on Pattern Analysis and Machine Intelligence, 6(6), 721–741.</w:t>
      </w:r>
    </w:p>
    <w:p>
      <w:pPr>
        <w:spacing w:before="36" w:after="36"/>
      </w:pPr>
      <w:r>
        <w:rPr>
          <w:rFonts w:ascii="Georgia" w:cs="Georgia" w:eastAsia="Georgia" w:hAnsi="Georgia"/>
          <w:color w:val="666666"/>
          <w:sz w:val="17"/>
          <w:szCs w:val="17"/>
        </w:rPr>
        <w:t xml:space="preserve">[16] Jordan, M. I., Ghahramani, Z., Jaakkola, T. S., &amp; Saul, L. K. (1999). An introduction to variational methods for graphical models. Machine Learning, 37(2), 183–233.</w:t>
      </w:r>
    </w:p>
    <w:p>
      <w:pPr>
        <w:spacing w:before="36" w:after="36"/>
      </w:pPr>
      <w:r>
        <w:rPr>
          <w:rFonts w:ascii="Georgia" w:cs="Georgia" w:eastAsia="Georgia" w:hAnsi="Georgia"/>
          <w:color w:val="666666"/>
          <w:sz w:val="17"/>
          <w:szCs w:val="17"/>
        </w:rPr>
        <w:t xml:space="preserve">[17] Frazzoli, E., Dahleh, M. A., &amp; Feron, E. (2005). Maneuver-based motion planning for nonlinear systems with symmetries. IEEE Transactions on Robotics, 21(6), 1077–1091.</w:t>
      </w:r>
    </w:p>
    <w:p>
      <w:pPr>
        <w:spacing w:before="36" w:after="36"/>
      </w:pPr>
      <w:r>
        <w:rPr>
          <w:rFonts w:ascii="Georgia" w:cs="Georgia" w:eastAsia="Georgia" w:hAnsi="Georgia"/>
          <w:color w:val="666666"/>
          <w:sz w:val="17"/>
          <w:szCs w:val="17"/>
        </w:rPr>
        <w:t xml:space="preserve">[18] Koller, D., &amp; Friedman, N. (2009). Probabilistic Graphical Models: Principles and Techniques. MIT Press.</w:t>
      </w:r>
    </w:p>
    <w:p>
      <w:pPr>
        <w:spacing w:before="36" w:after="36"/>
      </w:pPr>
      <w:r>
        <w:rPr>
          <w:rFonts w:ascii="Georgia" w:cs="Georgia" w:eastAsia="Georgia" w:hAnsi="Georgia"/>
          <w:color w:val="666666"/>
          <w:sz w:val="17"/>
          <w:szCs w:val="17"/>
        </w:rPr>
        <w:t xml:space="preserve">[19] Murphy, K. P. (2012). Machine Learning: A Probabilistic Perspective. MIT Press.</w:t>
      </w:r>
    </w:p>
    <w:p>
      <w:pPr>
        <w:spacing w:before="36" w:after="36"/>
      </w:pPr>
      <w:r>
        <w:rPr>
          <w:rFonts w:ascii="Georgia" w:cs="Georgia" w:eastAsia="Georgia" w:hAnsi="Georgia"/>
          <w:color w:val="666666"/>
          <w:sz w:val="17"/>
          <w:szCs w:val="17"/>
        </w:rPr>
        <w:t xml:space="preserve">[20] Barber, D. (2012). Bayesian Reasoning and Machine Learning. Cambridge University Press.</w:t>
      </w:r>
    </w:p>
    <w:sectPr>
      <w:foot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666666"/>
        <w:sz w:val="18"/>
        <w:szCs w:val="18"/>
      </w:rPr>
      <w:t xml:space="preserve">CyphaDIF: Stochastic Processes &amp; Markov Analysis  |  Page </w:t>
    </w:r>
    <w:r>
      <w:rPr>
        <w:rFonts w:ascii="Georgia" w:cs="Georgia" w:eastAsia="Georgia" w:hAnsi="Georgia"/>
        <w:color w:val="666666"/>
        <w:sz w:val="18"/>
        <w:szCs w:val="18"/>
      </w:rPr>
      <w:fldChar w:fldCharType="begin"/>
      <w:instrText xml:space="preserve">PAGE</w:instrText>
      <w:fldChar w:fldCharType="separate"/>
      <w:fldChar w:fldCharType="end"/>
    </w:r>
    <w:r>
      <w:rPr>
        <w:rFonts w:ascii="Georgia" w:cs="Georgia" w:eastAsia="Georgia" w:hAnsi="Georgia"/>
        <w:i/>
        <w:iCs/>
        <w:color w:val="666666"/>
        <w:sz w:val="18"/>
        <w:szCs w:val="18"/>
      </w:rPr>
      <w:t xml:space="preserve">  |  Unpublished Technical Report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80"/>
      <w:outlineLvl w:val="0"/>
    </w:pPr>
    <w:rPr>
      <w:rFonts w:ascii="Arial" w:cs="Arial" w:eastAsia="Arial" w:hAnsi="Arial"/>
      <w:b/>
      <w:bCs/>
      <w:color w:val="0A1628"/>
      <w:sz w:val="30"/>
      <w:szCs w:val="30"/>
    </w:rPr>
  </w:style>
  <w:style w:type="paragraph" w:styleId="Heading2">
    <w:name w:val="Heading 2"/>
    <w:basedOn w:val="Normal"/>
    <w:next w:val="Normal"/>
    <w:qFormat/>
    <w:pPr>
      <w:spacing w:before="280" w:after="120"/>
      <w:outlineLvl w:val="1"/>
    </w:pPr>
    <w:rPr>
      <w:rFonts w:ascii="Arial" w:cs="Arial" w:eastAsia="Arial" w:hAnsi="Arial"/>
      <w:b/>
      <w:bCs/>
      <w:color w:val="1A3A6B"/>
      <w:sz w:val="25"/>
      <w:szCs w:val="25"/>
    </w:rPr>
  </w:style>
  <w:style w:type="paragraph" w:styleId="Heading3">
    <w:name w:val="Heading 3"/>
    <w:basedOn w:val="Normal"/>
    <w:next w:val="Normal"/>
    <w:qFormat/>
    <w:pPr>
      <w:spacing w:before="180" w:after="80"/>
      <w:outlineLvl w:val="2"/>
    </w:pPr>
    <w:rPr>
      <w:rFonts w:ascii="Arial" w:cs="Arial" w:eastAsia="Arial" w:hAnsi="Arial"/>
      <w:b/>
      <w:bCs/>
      <w:color w:val="0E66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2026-03-10T07:44:16.720Z</dcterms:created>
  <dcterms:modified xsi:type="dcterms:W3CDTF">2026-03-10T07:44:16.721Z</dcterms:modified>
</cp:coreProperties>
</file>

<file path=docProps/custom.xml><?xml version="1.0" encoding="utf-8"?>
<Properties xmlns="http://schemas.openxmlformats.org/officeDocument/2006/custom-properties" xmlns:vt="http://schemas.openxmlformats.org/officeDocument/2006/docPropsVTypes"/>
</file>