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21.10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Föstudagur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16:00-22:00</w:t>
              <w:br/>
              <w:t>Sigrún</w:t>
              <w:br/>
              <w:t>16:00-23:00</w:t>
              <w:br/>
              <w:t>Þórir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  <w:br/>
              <w:t>Jóhanna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16:00-23:00</w:t>
              <w:br/>
              <w:t>Ragnar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14:00-22:00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Sesselja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12:00-20:00</w:t>
              <w:br/>
              <w:t>Ólafur Árni Jónsson 08:00-16:00</w:t>
              <w:br/>
              <w:t>Silja Hjaltadóttir 08:00-16:00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