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27.09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Ólafur Árni Jónsson 08:00-16:00</w:t>
              <w:br/>
              <w:t>Róbert Steinar Hjálmarsson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