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30.09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Föstudagur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Sara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</w:t>
              <w:br/>
              <w:t>08:00-16:00</w:t>
              <w:br/>
              <w:t>Þórir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Friðberg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Kristín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</w:t>
              <w:br/>
              <w:t>16:00-22:00</w:t>
              <w:br/>
              <w:t>Jón</w:t>
              <w:br/>
              <w:t>16:00-23:00</w:t>
              <w:br/>
              <w:t>Úlfar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KVK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Kristján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Davíð</w:t>
              <w:br/>
              <w:t>16:00-22:00</w:t>
              <w:br/>
              <w:t>Sveinbjörn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Rakel</w:t>
              <w:br/>
              <w:t>14:00-22:00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Kolfinna 23:00-09:00</w:t>
              <w:br/>
              <w:t>Þorvaldur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Ólafur Árni Jónsson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