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Чемпионат Калининградской области по серфингу </w:t>
      </w:r>
      <w:r>
        <w:rPr>
          <w:sz w:val="28"/>
          <w:szCs w:val="28"/>
          <w:rtl w:val="0"/>
          <w:lang w:val="ru-RU"/>
        </w:rPr>
        <w:t>2023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Дисциплина “короткая доска”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мужчины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074"/>
        <w:gridCol w:w="2134"/>
        <w:gridCol w:w="4009"/>
        <w:gridCol w:w="2405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1074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Место</w:t>
            </w:r>
          </w:p>
        </w:tc>
        <w:tc>
          <w:tcPr>
            <w:tcW w:type="dxa" w:w="2134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Цвет участника</w:t>
            </w:r>
          </w:p>
        </w:tc>
        <w:tc>
          <w:tcPr>
            <w:tcW w:type="dxa" w:w="4008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ФИО</w:t>
            </w:r>
          </w:p>
        </w:tc>
        <w:tc>
          <w:tcPr>
            <w:tcW w:type="dxa" w:w="2405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Разряд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звание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Коптелов Петр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2-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белый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Шушаков Роман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синий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Синица Петр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красный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Богдалов Данил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Фоблачев Тихон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белый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Аношкин Александр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красный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Кортелев Федор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Истомин Максим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желтый 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Булгаков Игорь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красный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Листопад Евгений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Главный судья соревнований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судья </w:t>
      </w:r>
      <w:r>
        <w:rPr>
          <w:sz w:val="24"/>
          <w:szCs w:val="24"/>
          <w:rtl w:val="0"/>
          <w:lang w:val="ru-RU"/>
        </w:rPr>
        <w:t>2-</w:t>
      </w:r>
      <w:r>
        <w:rPr>
          <w:sz w:val="24"/>
          <w:szCs w:val="24"/>
          <w:rtl w:val="0"/>
          <w:lang w:val="ru-RU"/>
        </w:rPr>
        <w:t>й категории Исаков 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Л</w:t>
      </w:r>
      <w:r>
        <w:rPr>
          <w:sz w:val="24"/>
          <w:szCs w:val="24"/>
          <w:rtl w:val="0"/>
          <w:lang w:val="ru-RU"/>
        </w:rPr>
        <w:t>. ______________________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Главный секретарь соревнований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судья </w:t>
      </w:r>
      <w:r>
        <w:rPr>
          <w:sz w:val="24"/>
          <w:szCs w:val="24"/>
          <w:rtl w:val="0"/>
          <w:lang w:val="ru-RU"/>
        </w:rPr>
        <w:t>2-</w:t>
      </w:r>
      <w:r>
        <w:rPr>
          <w:sz w:val="24"/>
          <w:szCs w:val="24"/>
          <w:rtl w:val="0"/>
          <w:lang w:val="ru-RU"/>
        </w:rPr>
        <w:t>й категории Балякин 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Л</w:t>
      </w:r>
      <w:r>
        <w:rPr>
          <w:sz w:val="24"/>
          <w:szCs w:val="24"/>
          <w:rtl w:val="0"/>
          <w:lang w:val="ru-RU"/>
        </w:rPr>
        <w:t>. _____________________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 </w:t>
      </w:r>
      <w:r>
        <w:rPr>
          <w:sz w:val="24"/>
          <w:szCs w:val="24"/>
          <w:rtl w:val="0"/>
          <w:lang w:val="ru-RU"/>
        </w:rPr>
        <w:t xml:space="preserve">июня </w:t>
      </w:r>
      <w:r>
        <w:rPr>
          <w:sz w:val="24"/>
          <w:szCs w:val="24"/>
          <w:rtl w:val="0"/>
          <w:lang w:val="ru-RU"/>
        </w:rPr>
        <w:t xml:space="preserve">2023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Зеленоградск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