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left"/>
      </w:pPr>
      <w:r>
        <w:rPr>
          <w:b/>
          <w:i w:val="0"/>
          <w:sz w:val="22"/>
        </w:rPr>
        <w:t>Michael E. Bustamante</w:t>
      </w:r>
    </w:p>
    <w:p>
      <w:pPr>
        <w:spacing w:after="0" w:before="0"/>
        <w:jc w:val="left"/>
      </w:pPr>
      <w:r>
        <w:rPr>
          <w:b w:val="0"/>
          <w:i w:val="0"/>
          <w:sz w:val="22"/>
        </w:rPr>
        <w:t>Odinzen LLC, Houston, TX, United States</w:t>
      </w:r>
    </w:p>
    <w:p>
      <w:pPr>
        <w:spacing w:after="0" w:before="0"/>
        <w:jc w:val="left"/>
      </w:pPr>
      <w:r>
        <w:rPr>
          <w:b w:val="0"/>
          <w:i w:val="0"/>
          <w:sz w:val="22"/>
        </w:rPr>
        <w:t>michaelbusta@odinzen.io</w:t>
      </w:r>
    </w:p>
    <w:p>
      <w:pPr>
        <w:spacing w:after="0" w:before="0"/>
        <w:jc w:val="left"/>
      </w:pPr>
      <w:r>
        <w:rPr>
          <w:b w:val="0"/>
          <w:i w:val="0"/>
          <w:sz w:val="22"/>
        </w:rPr>
        <w:t>ORCID: 0009-0009-9001-8151</w:t>
      </w:r>
    </w:p>
    <w:p>
      <w:pPr>
        <w:spacing w:after="160" w:before="0"/>
        <w:jc w:val="left"/>
      </w:pPr>
      <w:r>
        <w:rPr>
          <w:b w:val="0"/>
          <w:i w:val="0"/>
          <w:sz w:val="22"/>
        </w:rPr>
      </w:r>
    </w:p>
    <w:p>
      <w:pPr>
        <w:spacing w:after="0" w:before="0"/>
        <w:jc w:val="left"/>
      </w:pPr>
      <w:r>
        <w:rPr>
          <w:b w:val="0"/>
          <w:i/>
          <w:color w:val="787878"/>
          <w:sz w:val="22"/>
        </w:rPr>
        <w:t>[DATE]</w:t>
      </w:r>
    </w:p>
    <w:p>
      <w:pPr>
        <w:spacing w:after="160" w:before="0"/>
        <w:jc w:val="left"/>
      </w:pPr>
      <w:r>
        <w:rPr>
          <w:b w:val="0"/>
          <w:i w:val="0"/>
          <w:sz w:val="22"/>
        </w:rPr>
      </w:r>
    </w:p>
    <w:p>
      <w:pPr>
        <w:spacing w:after="0" w:before="0"/>
        <w:jc w:val="left"/>
      </w:pPr>
      <w:r>
        <w:rPr>
          <w:b w:val="0"/>
          <w:i w:val="0"/>
          <w:sz w:val="22"/>
        </w:rPr>
        <w:t>The Editors</w:t>
      </w:r>
    </w:p>
    <w:p>
      <w:pPr>
        <w:spacing w:after="0" w:before="0"/>
        <w:jc w:val="left"/>
      </w:pPr>
      <w:r>
        <w:rPr>
          <w:b w:val="0"/>
          <w:i w:val="0"/>
          <w:sz w:val="22"/>
        </w:rPr>
        <w:t>Energy</w:t>
      </w:r>
    </w:p>
    <w:p>
      <w:pPr>
        <w:spacing w:after="0" w:before="0"/>
        <w:jc w:val="left"/>
      </w:pPr>
      <w:r>
        <w:rPr>
          <w:b w:val="0"/>
          <w:i w:val="0"/>
          <w:sz w:val="22"/>
        </w:rPr>
        <w:t>Elsevier</w:t>
      </w:r>
    </w:p>
    <w:p>
      <w:pPr>
        <w:spacing w:after="160" w:before="0"/>
        <w:jc w:val="left"/>
      </w:pPr>
      <w:r>
        <w:rPr>
          <w:b w:val="0"/>
          <w:i w:val="0"/>
          <w:sz w:val="22"/>
        </w:rPr>
      </w:r>
    </w:p>
    <w:p>
      <w:pPr>
        <w:spacing w:after="0" w:before="0"/>
      </w:pPr>
      <w:r>
        <w:rPr>
          <w:b/>
          <w:sz w:val="22"/>
        </w:rPr>
        <w:t xml:space="preserve">Re: </w:t>
      </w:r>
      <w:r>
        <w:rPr>
          <w:sz w:val="22"/>
        </w:rPr>
        <w:t>Submission of original manuscript — “Materials Design for Data Center Thermal Management and Waste Heat Recovery: Dielectric Fluids, Gallium Liquid Metals, and Embedded Two-Phase Cooling”</w:t>
      </w:r>
    </w:p>
    <w:p>
      <w:pPr>
        <w:spacing w:after="160" w:before="0"/>
        <w:jc w:val="left"/>
      </w:pPr>
      <w:r>
        <w:rPr>
          <w:b w:val="0"/>
          <w:i w:val="0"/>
          <w:sz w:val="22"/>
        </w:rPr>
      </w:r>
    </w:p>
    <w:p>
      <w:pPr>
        <w:spacing w:after="0" w:before="0"/>
        <w:jc w:val="left"/>
      </w:pPr>
      <w:r>
        <w:rPr>
          <w:b w:val="0"/>
          <w:i w:val="0"/>
          <w:sz w:val="22"/>
        </w:rPr>
        <w:t>Dear Editors,</w:t>
      </w:r>
    </w:p>
    <w:p>
      <w:pPr>
        <w:spacing w:after="80" w:before="0"/>
        <w:jc w:val="left"/>
      </w:pPr>
      <w:r>
        <w:rPr>
          <w:b w:val="0"/>
          <w:i w:val="0"/>
          <w:sz w:val="22"/>
        </w:rPr>
      </w:r>
    </w:p>
    <w:p>
      <w:pPr>
        <w:spacing w:after="160" w:before="0"/>
        <w:jc w:val="left"/>
      </w:pPr>
      <w:r>
        <w:rPr>
          <w:b w:val="0"/>
          <w:i w:val="0"/>
          <w:sz w:val="22"/>
        </w:rPr>
        <w:t>We are pleased to submit the above manuscript for consideration as a review article in Energy. The work treats the management of data center waste heat as a materials design problem and shows that the choice of coolant is an energy systems decision: the coolant fixes the thermal pathway, which fixes the output temperature and resistance, which fixes the grade of recoverable heat. As AI and large language model data centers push global compute electricity demand past 1,000 TWh per year, that choice determines whether the thermal output is an environmental cost or an energy asset.</w:t>
      </w:r>
    </w:p>
    <w:p>
      <w:pPr>
        <w:spacing w:after="80" w:before="0"/>
        <w:jc w:val="left"/>
      </w:pPr>
      <w:r>
        <w:rPr>
          <w:b w:val="0"/>
          <w:i w:val="0"/>
          <w:sz w:val="22"/>
        </w:rPr>
        <w:t>The manuscript makes four contributions that fit Energy’s scope:</w:t>
      </w:r>
    </w:p>
    <w:p>
      <w:pPr>
        <w:pStyle w:val="ListNumber"/>
        <w:spacing w:after="120" w:before="0"/>
        <w:ind w:left="360"/>
      </w:pPr>
      <w:r>
        <w:rPr>
          <w:sz w:val="22"/>
        </w:rPr>
        <w:t>A process–structure–property–performance treatment of three coolant generations (dielectric immersion fluids, gallium-based liquid metals, and embedded two-phase microfluidics), tied throughout to the grade and recoverable exergy of the resulting waste heat, with six documented operational heat-reuse deployments and a lifecycle CO₂ displacement analysis.</w:t>
      </w:r>
    </w:p>
    <w:p>
      <w:pPr>
        <w:pStyle w:val="ListNumber"/>
        <w:spacing w:after="120" w:before="0"/>
        <w:ind w:left="360"/>
      </w:pPr>
      <w:r>
        <w:rPr>
          <w:sz w:val="22"/>
        </w:rPr>
        <w:t>A cross-generation quantitative comparison (Section 10, Table 4) spanning seven representative configurations from forced-air convection (~1 W/cm²) through embedded two-phase jet microchannels (~3,000 W/cm²), with exergy fractions computed at a common reference temperature so the grade-versus-flux trade-off is directly legible.</w:t>
      </w:r>
    </w:p>
    <w:p>
      <w:pPr>
        <w:pStyle w:val="ListNumber"/>
        <w:spacing w:after="120" w:before="0"/>
        <w:ind w:left="360"/>
      </w:pPr>
      <w:r>
        <w:rPr>
          <w:sz w:val="22"/>
        </w:rPr>
        <w:t>An original computational result: using an open CALPHAD workflow, the Ga–In–Sn liquidus is computed from assessed binary descriptions plus a single ternary term fitted to the measured eutectic, reproducing the Galinstan melting point of 10.7 ± 0.3 °C to within experimental error. This establishes the coolant melting range as a designable property rather than a catalogue choice, directly relevant to matching coolant freezing behaviour to district-heating supply windows.</w:t>
      </w:r>
    </w:p>
    <w:p>
      <w:pPr>
        <w:pStyle w:val="ListNumber"/>
        <w:spacing w:after="120" w:before="0"/>
        <w:ind w:left="360"/>
      </w:pPr>
      <w:r>
        <w:rPr>
          <w:sz w:val="22"/>
        </w:rPr>
        <w:t>A quantitative account of limits: the exergy already destroyed at the rack, the grid-intensity breakeven below which heat reuse is net-positive on CO₂, the corrosion and supply-chain constraints on gallium, and the gap between laboratory demonstrations and facility-scale deployment.</w:t>
      </w:r>
    </w:p>
    <w:p>
      <w:pPr>
        <w:spacing w:after="80" w:before="0"/>
        <w:jc w:val="left"/>
      </w:pPr>
      <w:r>
        <w:rPr>
          <w:b w:val="0"/>
          <w:i w:val="0"/>
          <w:sz w:val="22"/>
        </w:rPr>
      </w:r>
    </w:p>
    <w:p>
      <w:pPr>
        <w:spacing w:after="160" w:before="0"/>
        <w:jc w:val="left"/>
      </w:pPr>
      <w:r>
        <w:rPr>
          <w:b w:val="0"/>
          <w:i w:val="0"/>
          <w:sz w:val="22"/>
        </w:rPr>
        <w:t>The corresponding author’s prior peer-reviewed work provides the experimental thermodynamic anchor for the gallium analysis: Bustamante, Lilova, Navrotsky, Harvey, Oishi, “Enthalpies of mixing for alloys liquid below room temperature determined by oxidative solution calorimetry,” J. Therm. Anal. Calorim. 149 (2024) 4817–4826 (doi:10.1007/s10973-024-13035-5).</w:t>
      </w:r>
    </w:p>
    <w:p>
      <w:pPr>
        <w:spacing w:after="160" w:before="0"/>
        <w:jc w:val="left"/>
      </w:pPr>
      <w:r>
        <w:rPr>
          <w:b w:val="0"/>
          <w:i w:val="0"/>
          <w:sz w:val="22"/>
        </w:rPr>
        <w:t>The manuscript is original, has not been published in whole or in substantive part elsewhere, and is not under consideration by any other journal. There are no competing interests and no external funding. Use of AI-assisted tools (editorial revision, structural reorganisation, figure-production scripting, formatting) is disclosed in the manuscript; all factual claims, numerical values, and citations were verified by the authors against primary sources, and the reference list was checked field-by-field against resolved Crossref records.</w:t>
      </w:r>
    </w:p>
    <w:p>
      <w:pPr>
        <w:spacing w:after="240" w:before="0"/>
        <w:jc w:val="left"/>
      </w:pPr>
      <w:r>
        <w:rPr>
          <w:b w:val="0"/>
          <w:i w:val="0"/>
          <w:sz w:val="22"/>
        </w:rPr>
        <w:t>Thank you for considering this work. We would welcome review and stand ready to respond promptly to any comments.</w:t>
      </w:r>
    </w:p>
    <w:p>
      <w:pPr>
        <w:spacing w:after="0" w:before="0"/>
        <w:jc w:val="left"/>
      </w:pPr>
      <w:r>
        <w:rPr>
          <w:b w:val="0"/>
          <w:i w:val="0"/>
          <w:sz w:val="22"/>
        </w:rPr>
        <w:t>Yours sincerely,</w:t>
      </w:r>
    </w:p>
    <w:p>
      <w:pPr>
        <w:spacing w:after="240" w:before="0"/>
        <w:jc w:val="left"/>
      </w:pPr>
      <w:r>
        <w:rPr>
          <w:b w:val="0"/>
          <w:i w:val="0"/>
          <w:sz w:val="22"/>
        </w:rPr>
      </w:r>
    </w:p>
    <w:p>
      <w:pPr>
        <w:spacing w:after="0" w:before="0"/>
        <w:jc w:val="left"/>
      </w:pPr>
      <w:r>
        <w:rPr>
          <w:b/>
          <w:i w:val="0"/>
          <w:sz w:val="22"/>
        </w:rPr>
        <w:t>Michael E. Bustamante</w:t>
      </w:r>
    </w:p>
    <w:p>
      <w:pPr>
        <w:spacing w:after="0" w:before="0"/>
        <w:jc w:val="left"/>
      </w:pPr>
      <w:r>
        <w:rPr>
          <w:b w:val="0"/>
          <w:i w:val="0"/>
          <w:sz w:val="22"/>
        </w:rPr>
        <w:t>Odinzen LLC</w:t>
      </w:r>
    </w:p>
    <w:p>
      <w:pPr>
        <w:spacing w:after="0" w:before="0"/>
        <w:jc w:val="left"/>
      </w:pPr>
      <w:r>
        <w:rPr>
          <w:b w:val="0"/>
          <w:i w:val="0"/>
          <w:sz w:val="22"/>
        </w:rPr>
        <w:t>Corresponding author</w:t>
      </w:r>
    </w:p>
    <w:p>
      <w:pPr>
        <w:spacing w:after="120" w:before="0"/>
        <w:jc w:val="left"/>
      </w:pPr>
      <w:r>
        <w:rPr>
          <w:b w:val="0"/>
          <w:i w:val="0"/>
          <w:sz w:val="22"/>
        </w:rPr>
      </w:r>
    </w:p>
    <w:p>
      <w:pPr>
        <w:spacing w:after="0" w:before="0"/>
        <w:jc w:val="left"/>
      </w:pPr>
      <w:r>
        <w:rPr>
          <w:b/>
          <w:i w:val="0"/>
          <w:sz w:val="22"/>
        </w:rPr>
        <w:t>Kristina Lilova</w:t>
      </w:r>
    </w:p>
    <w:p>
      <w:pPr>
        <w:spacing w:after="0" w:before="0"/>
        <w:jc w:val="left"/>
      </w:pPr>
      <w:r>
        <w:rPr>
          <w:b w:val="0"/>
          <w:i w:val="0"/>
          <w:sz w:val="22"/>
        </w:rPr>
        <w:t>Center for Materials of the Universe</w:t>
      </w:r>
    </w:p>
    <w:p>
      <w:pPr>
        <w:spacing w:after="0" w:before="0"/>
        <w:jc w:val="left"/>
      </w:pPr>
      <w:r>
        <w:rPr>
          <w:b w:val="0"/>
          <w:i w:val="0"/>
          <w:sz w:val="22"/>
        </w:rPr>
        <w:t>School of Molecular Sciences, Arizona State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