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rFonts w:ascii="Calibri" w:cs="Calibri" w:eastAsia="Calibri" w:hAnsi="Calibri"/>
          <w:b/>
          <w:bCs/>
          <w:sz w:val="32"/>
          <w:szCs w:val="32"/>
        </w:rPr>
        <w:t xml:space="preserve">Cooling Materials for Sustainable Compute Waste-Heat Recovery: A Three-Generation Review of Dielectric Fluids, Gallium-Based Liquid Metals, and Embedded Two-Phase Systems</w:t>
      </w:r>
    </w:p>
    <w:p>
      <w:pPr>
        <w:spacing w:after="80"/>
        <w:jc w:val="center"/>
      </w:pPr>
      <w:r>
        <w:rPr>
          <w:rFonts w:ascii="Calibri" w:cs="Calibri" w:eastAsia="Calibri" w:hAnsi="Calibri"/>
          <w:b/>
          <w:bCs/>
          <w:sz w:val="24"/>
          <w:szCs w:val="24"/>
        </w:rPr>
        <w:t xml:space="preserve">Michael E. Bustamante</w:t>
      </w:r>
    </w:p>
    <w:p>
      <w:pPr>
        <w:spacing w:after="80"/>
        <w:jc w:val="center"/>
      </w:pPr>
      <w:r>
        <w:rPr>
          <w:rFonts w:ascii="Calibri" w:cs="Calibri" w:eastAsia="Calibri" w:hAnsi="Calibri"/>
          <w:sz w:val="22"/>
          <w:szCs w:val="22"/>
        </w:rPr>
        <w:t xml:space="preserve">Odinzen LLC, Houston, TX, United States</w:t>
      </w:r>
    </w:p>
    <w:p>
      <w:pPr>
        <w:spacing w:after="120"/>
        <w:jc w:val="center"/>
      </w:pPr>
      <w:r>
        <w:rPr>
          <w:rFonts w:ascii="Calibri" w:cs="Calibri" w:eastAsia="Calibri" w:hAnsi="Calibri"/>
          <w:sz w:val="20"/>
          <w:szCs w:val="20"/>
        </w:rPr>
        <w:t xml:space="preserve">Corresponding author. E-mail: michaelbusta@odinzen.io · ORCID: 0009-0009-9001-8151</w:t>
      </w:r>
    </w:p>
    <w:p>
      <w:pPr>
        <w:spacing w:after="120"/>
        <w:jc w:val="center"/>
      </w:pPr>
      <w:r>
        <w:rPr>
          <w:rFonts w:ascii="Calibri" w:cs="Calibri" w:eastAsia="Calibri" w:hAnsi="Calibri"/>
          <w:i/>
          <w:iCs/>
          <w:color w:val="666666"/>
          <w:sz w:val="18"/>
          <w:szCs w:val="18"/>
        </w:rPr>
        <w:t xml:space="preserve">Odinzen LLC is an independent research venture focused on CALPHAD (CALculation of PHAse Diagrams) and computational thermodynamics applied to cooling-materials selection for compute infrastructure. The materials-design framing of the present review reflects this disciplinary orientation. https://odinzen.io/ · Author prior published work in this area: oxidative solution calorimetry of Ga-In-Sn-Zn liquid alloys [120].</w:t>
      </w:r>
    </w:p>
    <w:p>
      <w:pPr>
        <w:spacing w:after="360"/>
        <w:jc w:val="center"/>
      </w:pPr>
      <w:r>
        <w:rPr>
          <w:rFonts w:ascii="Calibri" w:cs="Calibri" w:eastAsia="Calibri" w:hAnsi="Calibri"/>
          <w:i/>
          <w:iCs/>
          <w:color w:val="555555"/>
          <w:sz w:val="18"/>
          <w:szCs w:val="18"/>
        </w:rPr>
        <w:t xml:space="preserve">Version 7 — resubmission to Renewable and Sustainable Energy Reviews. Original reference RSER-D-26-03352. Addresses editorial guidance on bibliographic depth, multi-language coverage, chronological balance, and critical-synthesis standard, with abstract and introduction rebalanced to foreground the AI-data-centre energy trajectory and the materials-design framing strengthened through CALPHAD-anchored discussion of the gallium-cooling phase chemistry.</w:t>
      </w:r>
    </w:p>
    <w:p>
      <w:pPr>
        <w:pStyle w:val="Heading2"/>
        <w:spacing w:after="120" w:before="240"/>
      </w:pPr>
      <w:r>
        <w:rPr>
          <w:rFonts w:ascii="Calibri" w:cs="Calibri" w:eastAsia="Calibri" w:hAnsi="Calibri"/>
          <w:b/>
          <w:bCs/>
          <w:sz w:val="24"/>
          <w:szCs w:val="24"/>
        </w:rPr>
        <w:t xml:space="preserve">Graphical Abstract</w:t>
      </w:r>
    </w:p>
    <w:p>
      <w:pPr>
        <w:spacing w:after="80" w:before="120"/>
        <w:jc w:val="center"/>
      </w:pPr>
      <w:r>
        <w:drawing>
          <wp:inline distT="0" distB="0" distL="0" distR="0">
            <wp:extent cx="3429000" cy="5114925"/>
            <wp:effectExtent t="0" r="0" b="0" l="0"/>
            <wp:docPr id="1" name="Graphical abstract" descr="Graphical abstract" title="Graphical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5114925"/>
                    </a:xfrm>
                    <a:prstGeom prst="rect">
                      <a:avLst/>
                    </a:prstGeom>
                  </pic:spPr>
                </pic:pic>
              </a:graphicData>
            </a:graphic>
          </wp:inline>
        </w:drawing>
      </w:r>
    </w:p>
    <w:p>
      <w:pPr>
        <w:spacing w:after="240" w:before="80"/>
        <w:jc w:val="both"/>
      </w:pPr>
      <w:r>
        <w:rPr>
          <w:rFonts w:ascii="Calibri" w:cs="Calibri" w:eastAsia="Calibri" w:hAnsi="Calibri"/>
          <w:i/>
          <w:iCs/>
          <w:sz w:val="20"/>
          <w:szCs w:val="20"/>
        </w:rPr>
        <w:t xml:space="preserve">Three generations of compute cooling materials. First generation: dielectric immersion fluids (0.06–0.14 W m⁻¹ K⁻¹) delivering 65–75 °C output suitable for district heating. Second generation: gallium-based liquid metals (16–39 W m⁻¹ K⁻¹) — roughly two orders of magnitude higher conductivity than dielectric fluids. Third generation: embedded two-phase microfluidic cooling demonstrated at over 1 kW cm⁻².</w:t>
      </w:r>
    </w:p>
    <w:p>
      <w:pPr>
        <w:pStyle w:val="Heading1"/>
        <w:spacing w:after="160" w:before="320"/>
      </w:pPr>
      <w:r>
        <w:rPr>
          <w:rFonts w:ascii="Calibri" w:cs="Calibri" w:eastAsia="Calibri" w:hAnsi="Calibri"/>
          <w:b/>
          <w:bCs/>
          <w:sz w:val="28"/>
          <w:szCs w:val="28"/>
        </w:rPr>
        <w:t xml:space="preserve">Abstract</w:t>
      </w:r>
    </w:p>
    <w:p>
      <w:pPr>
        <w:spacing w:after="120" w:line="300"/>
        <w:jc w:val="both"/>
      </w:pPr>
      <w:r>
        <w:rPr>
          <w:rFonts w:ascii="Calibri" w:cs="Calibri" w:eastAsia="Calibri" w:hAnsi="Calibri"/>
          <w:sz w:val="22"/>
          <w:szCs w:val="22"/>
        </w:rPr>
        <w:t xml:space="preserve">Compute infrastructure consumes a meaningful share of global electricity. AI data-centres now dominate the trajectory: total data-centre demand is projected by the IEA to approach or exceed 1,000 TWh by 2026 [3, 119], several times Bitcoin mining (138–211 TWh/yr) [1, 2]. The EU Energy Efficiency Directive (2023/1791) and Germany EnEfG (10/15/20 percent heat-reuse trajectory for 2026–2028) make recovery mandatory [13, 41]. Existing reviews approach this from the system side [33–37, 87, 90, 96]; this review approaches it from the cooling material outward, arguing that the medium itself sets the temperature, exergy quality, and reusability of recovered heat.</w:t>
      </w:r>
    </w:p>
    <w:p>
      <w:pPr>
        <w:spacing w:after="120" w:line="300"/>
        <w:jc w:val="both"/>
      </w:pPr>
      <w:r>
        <w:rPr>
          <w:rFonts w:ascii="Calibri" w:cs="Calibri" w:eastAsia="Calibri" w:hAnsi="Calibri"/>
          <w:sz w:val="22"/>
          <w:szCs w:val="22"/>
        </w:rPr>
        <w:t xml:space="preserve">Three generations are reviewed. First-generation dielectric fluids (0.06–0.14 W m⁻¹ K⁻¹) and cold plates raise capture temperatures from 25–35 °C to 50–75 °C, within the European district-heating window [85, 86, 92]. Seventeen operational deployments are documented across nine countries. A lifecycle CO₂ model yields 1,400–3,200 tCO₂/yr displacement for a 1.7 MW immersion mining container; a parallel cold-plate AI case (60→75 °C heat pump, COP≈5.5) yields 900–1,500 tCO₂/yr. Both are net-positive only on grids below ~0.13–0.24 tCO₂/MWh — a Nordic-and-France condition [121–124]. Closed-loop cooling eliminates 90–130 million gallons of annual evaporative water per equivalent 10 MW facility [51].</w:t>
      </w:r>
    </w:p>
    <w:p>
      <w:pPr>
        <w:spacing w:after="120" w:line="300"/>
        <w:jc w:val="both"/>
      </w:pPr>
      <w:r>
        <w:rPr>
          <w:rFonts w:ascii="Calibri" w:cs="Calibri" w:eastAsia="Calibri" w:hAnsi="Calibri"/>
          <w:sz w:val="22"/>
          <w:szCs w:val="22"/>
        </w:rPr>
        <w:t xml:space="preserve">Second-generation gallium liquid metals (16–39 W m⁻¹ K⁻¹) deliver two orders of magnitude higher conductivity, with 60–68 percent temperature-rise reduction under pulsed loads; mature TIM applications (TRL 8–9) are distinguished from facility loops (TRL 3–4) [88, 100, 112, 117]. Third-generation embedded two-phase microfluidic cooling, demonstrated above 1 kW cm⁻² under DARPA ICECool and scaled in the 2025 Microsoft–Corintis collaboration, addresses heat-flux densities immersion cannot reach [28, 49, 68, 70, 84]. Cooling-material selection is a sustainable energy-systems design decision bounded by Carnot exergy and grid-emissions intensity.</w:t>
      </w:r>
    </w:p>
    <w:p>
      <w:pPr>
        <w:spacing w:after="120" w:line="300"/>
        <w:jc w:val="both"/>
      </w:pPr>
      <w:r>
        <w:rPr>
          <w:rFonts w:ascii="Calibri" w:cs="Calibri" w:eastAsia="Calibri" w:hAnsi="Calibri"/>
          <w:b/>
          <w:bCs/>
          <w:i w:val="false"/>
          <w:iCs w:val="false"/>
          <w:sz w:val="22"/>
          <w:szCs w:val="22"/>
        </w:rPr>
        <w:t xml:space="preserve">Keywords: </w:t>
      </w:r>
      <w:r>
        <w:rPr>
          <w:rFonts w:ascii="Calibri" w:cs="Calibri" w:eastAsia="Calibri" w:hAnsi="Calibri"/>
          <w:b w:val="false"/>
          <w:bCs w:val="false"/>
          <w:i w:val="false"/>
          <w:iCs w:val="false"/>
          <w:sz w:val="22"/>
          <w:szCs w:val="22"/>
        </w:rPr>
        <w:t xml:space="preserve">Data-centre cooling; Immersion cooling; Direct-to-chip cooling; Gallium liquid metals; Waste-heat recovery; District heating; Carnot exergy.</w:t>
      </w:r>
    </w:p>
    <w:p>
      <w:pPr>
        <w:pStyle w:val="Heading1"/>
        <w:spacing w:after="160" w:before="320"/>
      </w:pPr>
      <w:r>
        <w:rPr>
          <w:rFonts w:ascii="Calibri" w:cs="Calibri" w:eastAsia="Calibri" w:hAnsi="Calibri"/>
          <w:b/>
          <w:bCs/>
          <w:sz w:val="28"/>
          <w:szCs w:val="28"/>
        </w:rPr>
        <w:t xml:space="preserve">Nomenclature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Symbol / abbreviation</w:t>
            </w:r>
          </w:p>
        </w:tc>
        <w:tc>
          <w:tcPr>
            <w:tcW w:type="dxa" w:w="5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Meaning</w:t>
            </w:r>
          </w:p>
        </w:tc>
        <w:tc>
          <w:tcPr>
            <w:tcW w:type="dxa" w:w="21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Units (where applicable)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 T₀</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Heat-stream and ambient reference temperature</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K (or °C)</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η_Carnot = 1 − T₀/T</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Carnot exergy fraction of a heat stream</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dimensionless</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COP</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Coefficient of performance of a heat pump</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dimensionless</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Q_source, Q_useful, W_HP</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Heat-pump source heat, useful heat, electrical input</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 or MW</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EF_grid, EF_disp</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Emissions factor of electricity grid / displaced heating fuel</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tCO₂/MWh</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PUE / WUE</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Power / water usage effectiveness</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dimensionless / L per kWh_IT</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TRL</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Technology Readiness Level (NASA scale 1–9)</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TIM</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Thermal interface material</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CDU</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Coolant distribution unit</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TSV</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Through-silicon via</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PCM</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Phase-change material</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PFAS / HFE / HFO</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Per-/polyfluoroalkyl substances / hydrofluoroether / hydrofluoroolefin</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EED / EnEfG</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EU Energy Efficiency Directive 2023/1791 / German Energy Efficiency Act 2023</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DH / 4GDH</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District heating / 4th generation district heating (Lund et al. 2014 [86])</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CCAF</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Cambridge Centre for Alternative Finance</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LBNL</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Lawrence Berkeley National Laboratory</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IEA</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International Energy Agency</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ASHRAE / OCP / ECHA / USGS / MIIT / ACGIH</w:t>
            </w:r>
          </w:p>
        </w:tc>
        <w:tc>
          <w:tcPr>
            <w:tcW w:type="dxa" w:w="5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Standards and regulatory bodies referenced in the text</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w:t>
            </w:r>
          </w:p>
        </w:tc>
      </w:tr>
    </w:tbl>
    <w:p>
      <w:pPr>
        <w:pStyle w:val="Heading1"/>
        <w:spacing w:after="160" w:before="320"/>
      </w:pPr>
      <w:r>
        <w:rPr>
          <w:rFonts w:ascii="Calibri" w:cs="Calibri" w:eastAsia="Calibri" w:hAnsi="Calibri"/>
          <w:b/>
          <w:bCs/>
          <w:sz w:val="28"/>
          <w:szCs w:val="28"/>
        </w:rPr>
        <w:t xml:space="preserve">1. Introduction</w:t>
      </w:r>
    </w:p>
    <w:p>
      <w:pPr>
        <w:spacing w:after="120" w:line="300"/>
        <w:jc w:val="both"/>
      </w:pPr>
      <w:r>
        <w:rPr>
          <w:rFonts w:ascii="Calibri" w:cs="Calibri" w:eastAsia="Calibri" w:hAnsi="Calibri"/>
          <w:sz w:val="22"/>
          <w:szCs w:val="22"/>
        </w:rPr>
        <w:t xml:space="preserve">The principal driver of contemporary compute thermal management is the global hyperscale AI build-out. Data-centre rack-power densities now routinely exceed 100 kW in flagship AI training installations, with chip-level heat fluxes in the multiple-hundred W cm⁻² regime for GPU and AI-accelerator silicon. The air-side heat-transfer envelope can no longer accommodate this without prohibitive parasitic fan power. Liquid cooling — for decades a specialist solution confined to supercomputing, mainframe, and high-performance-computing environments [79, 83] — has, between 2022 and 2026, become the production architecture for the AI infrastructure of every major hyperscaler [40, 48a, 48b]. Bitcoin mining, although a much smaller share of total compute electricity consumption, has functioned as the operational pioneer of immersion cooling at facility scale and has produced the most thoroughly documented heat-reuse case studies; it therefore appears throughout this review both as a smaller component of the energy story and as the leading source of operational evidence on materials performance. The transition to liquid cooling has, simultaneously, opened the possibility of integrating data-centre thermal output into the broader energy system: a possibility long discussed in the literature [33–37, 71, 79, 87, 90, 96, 105] but never previously enforceable at scale.</w:t>
      </w:r>
    </w:p>
    <w:p>
      <w:pPr>
        <w:spacing w:after="120" w:line="300"/>
        <w:jc w:val="both"/>
      </w:pPr>
      <w:r>
        <w:rPr>
          <w:rFonts w:ascii="Calibri" w:cs="Calibri" w:eastAsia="Calibri" w:hAnsi="Calibri"/>
          <w:sz w:val="22"/>
          <w:szCs w:val="22"/>
        </w:rPr>
        <w:t xml:space="preserve">In January 2026, a shipping container arrived in a small town in Scandinavia. Inside were 160 Bitcoin mining rigs submerged in dielectric fluid, generating approximately 1.7 MW of thermal energy that was pumped into the town district-heating grid. At a typical Nordic single-family heating demand of approximately 5 MWh per home per year, this thermal output corresponds, by back-calculation, to the heating load of roughly 2,000 homes. The Latvia-based company that built it described itself as a heating company that happens to mine Bitcoin [5]. Simultaneously, a greenhouse in Manitoba was being heated by 360 liquid-cooled mining servers [6], students at Technological University Dublin attended lectures in buildings heated by AWS waste heat [15], approximately 1,000 residential properties in Mäntsälä, Finland received up to 75 percent of their heat from a Yandex installation [38], and on the campus of the former European Central Bank in Frankfurt, hotel guests at the Meliá INNSIDE were supplied with hot water heated to 60 °C by Cloud&amp;Heat servers in the building below [39]. Each of these deployments represents the operational validation of a thermodynamic argument: that the temperature, quality, and reusability of compute waste heat are properties of the cooling material itself, not just of the system topology around it.</w:t>
      </w:r>
    </w:p>
    <w:p>
      <w:pPr>
        <w:spacing w:after="120" w:line="300"/>
        <w:jc w:val="both"/>
      </w:pPr>
      <w:r>
        <w:rPr>
          <w:rFonts w:ascii="Calibri" w:cs="Calibri" w:eastAsia="Calibri" w:hAnsi="Calibri"/>
          <w:sz w:val="22"/>
          <w:szCs w:val="22"/>
        </w:rPr>
        <w:t xml:space="preserve">These deployments share an engineering feature with direct sustainability implications. The cooling material determines the output temperature; the output temperature determines the heat industrial utility; the heat industrial utility determines whether the rejected thermal energy is a recoverable energy product or an irretrievable thermodynamic loss. Air-cooled systems reject heat at 25–35 °C, below the 60–80 °C supply temperature required by district-heating networks [4, 85, 86, 92]. Immersion in dielectric fluid raises the capture temperature to 65–75 °C, crossing the district-heating threshold without a heat pump. Direct-to-chip cold-plate cooling, the dominant production architecture among hyperscale AI operators in 2025, captures heat at 50–65 °C, requiring a low-temperature-lift heat pump to reach district-heating supply specification but enabling much higher rack-power densities than immersion [40, 48a, 48b]. Gallium-based liquid metals, with thermal conductivities roughly two orders of magnitude higher than dielectric fluids, could raise output temperatures above 80 °C while also managing the escalating heat-flux densities of AI accelerators [88, 100, 112, 117]. The choice of cooling material is therefore an energy-systems design decision, not merely a thermal-engineering one.</w:t>
      </w:r>
    </w:p>
    <w:p>
      <w:pPr>
        <w:spacing w:after="120" w:line="300"/>
        <w:jc w:val="both"/>
      </w:pPr>
      <w:r>
        <w:rPr>
          <w:rFonts w:ascii="Calibri" w:cs="Calibri" w:eastAsia="Calibri" w:hAnsi="Calibri"/>
          <w:sz w:val="22"/>
          <w:szCs w:val="22"/>
        </w:rPr>
        <w:t xml:space="preserve">The policy landscape that frames this transition has consolidated rapidly between 2023 and 2026 across the largest data-centre markets. In the European Union, the Energy Efficiency Directive (EU) 2023/1791 (in force since September 2023) requires waste-heat recovery from new data centres above 1 MW, with the cost-benefit analysis to be conducted by the operator and submitted to the competent national authority [13]. Germany has implemented this through the Energieeffizienzgesetz (EnEfG, November 2023), which sets a binding heat-reuse trajectory of at least 10 percent of generated waste heat utilised by data centres commencing operation from 1 July 2026, rising to 15 percent in 2027 and 20 percent in 2028 [41, 42]. Approximately 1,000 German data centres above the 300 kW threshold fall within the EnEfG scope. The European Chemicals Agency Annex XV proposal (February 2023) [12], if adopted on the timeline indicated by the 2026–2027 Risk Assessment and Socio-Economic Analysis Committee opinions, will restrict approximately 10,000 PFAS substances, with implications for the historically dominant two-phase fluorocarbon coolant chemistries. The People Republic of China Ministry of Commerce imposed export controls on gallium and germanium effective 1 August 2023 [32], tightening international gallium supply for non-Chinese semiconductor and cooling-loop manufacturers. The Ministry of Industry and Information Technology of the PRC mandates a PUE under 1.3 for newly built large-scale data centres, with a national goal of 1.25 by 2025 [63, 127]. These policy instruments shift the central question from whether data centres should recover heat to how they should recover it, and the how is governed by the cooling-material choice this review examines.</w:t>
      </w:r>
    </w:p>
    <w:p>
      <w:pPr>
        <w:spacing w:after="120" w:line="300"/>
        <w:jc w:val="both"/>
      </w:pPr>
      <w:r>
        <w:rPr>
          <w:rFonts w:ascii="Calibri" w:cs="Calibri" w:eastAsia="Calibri" w:hAnsi="Calibri"/>
          <w:sz w:val="22"/>
          <w:szCs w:val="22"/>
        </w:rPr>
        <w:t xml:space="preserve">The energy baseline is drawn from the Cambridge Centre for Alternative Finance Digital Mining Industry Report (April 2025), which surveyed 49 firms covering 48 percent of global hash rate [1]. Bitcoin mining consumes 138 TWh per year (upper estimate 211 TWh [2]) with a sustainable energy share of 52.4 percent (42.6 percent renewables, 9.8 percent nuclear). Total data-centre electricity demand, dominated by AI workloads, is projected by the IEA to approach or exceed 1,000 TWh by 2026 [3, 119]. The trend trajectory has been documented over more than a decade: Koomey [77, 81] established the worldwide data-centre electricity baseline through 2010; Andrae and Edler [89] projected ICT electricity consumption to 2030 under multiple scenarios; Belkhir and Elmeligi [102] traced the ICT global emissions footprint to 2040; Shehabi et al. [91] produced the LBNL US data-centre energy usage report (2016); Jones [103] in Nature signalled the trajectory inflection that has now been documented by Masanet et al. [110] in Science (2020) and most recently by the IEA themselves [3, 119]. AI-specific carbon-footprint trajectories are documented by Strubell et al. [107], Patterson et al. [113, 118], Luccioni et al. [115], de Vries [116], and Schwartz et al. [111]. Bitcoin-specific energy and carbon accounting are documented by de Vries [101], Stoll et al. [106], and Krause and Tolaymat [104]. The China liquid-cooled server market alone reached USD 2.37 billion in 2024 (67 percent year-over-year growth) [43, 127], signalling that liquid cooling has crossed the inflection point in the largest single national data-centre market.</w:t>
      </w:r>
    </w:p>
    <w:p>
      <w:pPr>
        <w:spacing w:after="80" w:before="120"/>
        <w:jc w:val="center"/>
      </w:pPr>
      <w:r>
        <w:drawing>
          <wp:inline distT="0" distB="0" distL="0" distR="0">
            <wp:extent cx="4572000" cy="3419475"/>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19475"/>
                    </a:xfrm>
                    <a:prstGeom prst="rect">
                      <a:avLst/>
                    </a:prstGeom>
                  </pic:spPr>
                </pic:pic>
              </a:graphicData>
            </a:graphic>
          </wp:inline>
        </w:drawing>
      </w:r>
    </w:p>
    <w:p>
      <w:pPr>
        <w:spacing w:after="80"/>
        <w:jc w:val="center"/>
      </w:pPr>
      <w:r>
        <w:rPr>
          <w:rFonts w:ascii="Calibri" w:cs="Calibri" w:eastAsia="Calibri" w:hAnsi="Calibri"/>
          <w:b/>
          <w:bCs/>
          <w:i/>
          <w:iCs/>
          <w:sz w:val="20"/>
          <w:szCs w:val="20"/>
        </w:rPr>
        <w:t xml:space="preserve">Figure 1. Compute heat landscape.</w:t>
      </w:r>
    </w:p>
    <w:p>
      <w:pPr>
        <w:spacing w:after="240" w:before="80"/>
        <w:jc w:val="both"/>
      </w:pPr>
      <w:r>
        <w:rPr>
          <w:rFonts w:ascii="Calibri" w:cs="Calibri" w:eastAsia="Calibri" w:hAnsi="Calibri"/>
          <w:i/>
          <w:iCs/>
          <w:sz w:val="20"/>
          <w:szCs w:val="20"/>
        </w:rPr>
        <w:t xml:space="preserve">Circle area is proportional to annual electricity consumption. Bitcoin mining ~175 TWh/yr [1, 2, 101, 106]; total data-centre electricity (AI-dominated) ~1,000 TWh/yr by 2026 [3, 89, 110, 119]; traditional (non-AI) data centres ~460 TWh/yr [3, 91, 110]; global electricity ~29,000 TWh/yr [3]. Sources: CCAF [1, 2]; IEA [3].</w:t>
      </w:r>
    </w:p>
    <w:p>
      <w:pPr>
        <w:spacing w:after="120" w:line="300"/>
        <w:jc w:val="both"/>
      </w:pPr>
      <w:r>
        <w:rPr>
          <w:rFonts w:ascii="Calibri" w:cs="Calibri" w:eastAsia="Calibri" w:hAnsi="Calibri"/>
          <w:b/>
          <w:bCs/>
          <w:i/>
          <w:iCs/>
          <w:sz w:val="22"/>
          <w:szCs w:val="22"/>
        </w:rPr>
        <w:t xml:space="preserve">Selection bias caveat: </w:t>
      </w:r>
      <w:r>
        <w:rPr>
          <w:rFonts w:ascii="Calibri" w:cs="Calibri" w:eastAsia="Calibri" w:hAnsi="Calibri"/>
          <w:b w:val="false"/>
          <w:bCs w:val="false"/>
          <w:i w:val="false"/>
          <w:iCs w:val="false"/>
          <w:sz w:val="22"/>
          <w:szCs w:val="22"/>
        </w:rPr>
        <w:t xml:space="preserve">the Cambridge survey respondents are disproportionately publicly listed (41 percent) and North American. The unreported 52 percent includes operations in Central Asia and Africa where coal and gas typically dominate [1]. Under a worst-case bound (the entire unreported share assumed 100 percent fossil), the sustainable share could fall to ~25 percent; the true value is between this lower bound and the reported 52.4 percent. Even under the worst-case bound, the sustainable share of mining electricity exceeds the global-average grid intensity (~0.44 tCO₂/MWh corresponding to ~30 percent sustainable share), reflecting the long-run trend of mining hashrate migration toward stranded-renewable sources documented by Stoll et al. [106] and Krause and Tolaymat [104].</w:t>
      </w:r>
    </w:p>
    <w:p>
      <w:pPr>
        <w:spacing w:after="120" w:line="300"/>
        <w:jc w:val="both"/>
      </w:pPr>
      <w:r>
        <w:rPr>
          <w:rFonts w:ascii="Calibri" w:cs="Calibri" w:eastAsia="Calibri" w:hAnsi="Calibri"/>
          <w:sz w:val="22"/>
          <w:szCs w:val="22"/>
        </w:rPr>
        <w:t xml:space="preserve">The compute-cooling literature itself has bifurcated since the mid-2010s into a system-side strand and a materials-side strand. The system-side strand, which constitutes most of the published review literature in this journal and adjacent venues, examines how data-centre thermal output is integrated into district-energy networks, electricity markets, and broader urban energy systems. Wahlroos et al. [34] documented the Nordic data-centre waste-heat-recovery base; Huang et al. [33] generalised the prosumer framing to district-energy systems; Yuan et al. [35, 36] published the most comprehensive recent reviews of data-centre waste-heat recovery technologies and their integration with district-heating networks; Tervo et al. [37] analysed data-centre waste heat in volatile low-carbon electricity markets; Pärssinen et al. [105] performed the investment analysis of Nordic data-centre waste heat; Oró et al. [135] reviewed energy-efficiency and renewable-energy integration strategies for data centres in this same journal. Foundational district-heating papers — Lund et al. [86, 94] on 4GDH, Connolly et al. [85] on Heat Roadmap Europe, Werner [92] on the international DH review, Sayegh et al. [93] on heat-pump placement in DH systems, Bühler et al. [98] on industrial excess heat in Denmark — anchor the systems context. The materials-side strand, by contrast, is smaller and has been concentrated in thermal-engineering and electronics-cooling journals rather than in the sustainability-systems literature: Ebrahimi et al. [87], Capozzoli and Primiceri [90], Habibi Khalaj and Halgamuge [96], Daraghmeh and Wang [97], Mahmoud et al. , Cao and Liu , Wang et al. , Jin et al. , Lan et al. , and Lin et al.  cover successive segments of the cooling-material design space.</w:t>
      </w:r>
    </w:p>
    <w:p>
      <w:pPr>
        <w:spacing w:after="120" w:line="300"/>
        <w:jc w:val="both"/>
      </w:pPr>
      <w:r>
        <w:rPr>
          <w:rFonts w:ascii="Calibri" w:cs="Calibri" w:eastAsia="Calibri" w:hAnsi="Calibri"/>
          <w:sz w:val="22"/>
          <w:szCs w:val="22"/>
        </w:rPr>
        <w:t xml:space="preserve">The contribution of the present review is the deliberate framing of these two strands within a single materials-design taxonomy and the demonstration that the materials choice, more than any other engineering decision, bounds the sustainability outcome. Specifically, we show that (i) the temperature of recovered heat scales monotonically with the conductivity of the cooling medium across the three generations examined; (ii) the Carnot exergy fraction of recovered heat — a quantity that has, to our knowledge, not previously been deployed as the unifying figure of merit across compute-cooling generations — roughly doubles from air-cooled to immersion, and adds another ~20–25 percent on the projected transition to gallium-based loops; (iii) the lifecycle CO₂ value of waste-heat recovery from a representative 1.7 MW immersion-cooled mining container, or from a parallel 1.7 MW direct-to-chip cold-plate AI deployment, is net-positive only on grids cleaner than approximately 0.13–0.24 tCO₂/MWh, a condition met today only in the Nordic region and France; and (iv) the supply-chain and regulatory profiles of each generation diverge sharply, with gallium subject to PRC export controls and indium occupational exposure limits, two-phase fluorocarbon fluids subject to PFAS phase-out, and embedded two-phase architectures dependent on manufacturing yields not yet demonstrated at production AI-accelerator die sizes.</w:t>
      </w:r>
    </w:p>
    <w:p>
      <w:pPr>
        <w:spacing w:after="120" w:line="300"/>
        <w:jc w:val="both"/>
      </w:pPr>
      <w:r>
        <w:rPr>
          <w:rFonts w:ascii="Calibri" w:cs="Calibri" w:eastAsia="Calibri" w:hAnsi="Calibri"/>
          <w:sz w:val="22"/>
          <w:szCs w:val="22"/>
        </w:rPr>
        <w:t xml:space="preserve">This review documents operational deployments that validate first-generation technology, reviews the materials-science frontier of second- and third-generation systems, identifies the engineering challenges that separate laboratory demonstrations from facility-scale deployment, and connects the materials choice to lifecycle CO₂ displacement, water elimination, and district-heating integration. Detailed methodology, the PRISMA flow diagram, demand-response integration, breakeven derivation, and the cold-plate parallel case-study assumptions are provided in the accompanying Supplementary Material.</w:t>
      </w:r>
    </w:p>
    <w:p>
      <w:pPr>
        <w:pStyle w:val="Heading2"/>
        <w:spacing w:after="120" w:before="240"/>
      </w:pPr>
      <w:r>
        <w:rPr>
          <w:rFonts w:ascii="Calibri" w:cs="Calibri" w:eastAsia="Calibri" w:hAnsi="Calibri"/>
          <w:b/>
          <w:bCs/>
          <w:sz w:val="24"/>
          <w:szCs w:val="24"/>
        </w:rPr>
        <w:t xml:space="preserve">1.1. Scope and methodology</w:t>
      </w:r>
    </w:p>
    <w:p>
      <w:pPr>
        <w:spacing w:after="120" w:line="300"/>
        <w:jc w:val="both"/>
      </w:pPr>
      <w:r>
        <w:rPr>
          <w:rFonts w:ascii="Calibri" w:cs="Calibri" w:eastAsia="Calibri" w:hAnsi="Calibri"/>
          <w:sz w:val="22"/>
          <w:szCs w:val="22"/>
        </w:rPr>
        <w:t xml:space="preserve">This review covers cooling materials applied to digital compute infrastructure, including Bitcoin mining facilities, traditional data centres, and AI-focused data centres, with particular attention to waste-heat recovery, district-heating integration, water consumption, and lifecycle CO₂ implications. Three generations of cooling materials are examined: (i) single-phase dielectric immersion fluids and the parallel first-generation architecture of direct-to-chip cold-plate cooling; (ii) gallium-based liquid metals, separated into thermal interface material applications (TRL 8–9) and facility-scale cooling loops (TRL 3–4); and (iii) embedded two-phase microfluidic systems exemplified by the DARPA ICECool program and successors. Two-phase fluorocarbon immersion fluids are treated as a sub-case of the first generation, with PFAS regulatory context [12, 47, 99, 108, 109]. The review explicitly excludes air-cooled cooling-tower designs, refrigeration cycles unrelated to compute thermal capture, and non-electronic uses of liquid metals (nuclear reactor coolants and thermal-spray coatings), which are outside the materials-design space relevant to compute waste-heat recovery.</w:t>
      </w:r>
    </w:p>
    <w:p>
      <w:pPr>
        <w:pStyle w:val="Heading3"/>
        <w:spacing w:after="100" w:before="200"/>
      </w:pPr>
      <w:r>
        <w:rPr>
          <w:rFonts w:ascii="Calibri" w:cs="Calibri" w:eastAsia="Calibri" w:hAnsi="Calibri"/>
          <w:b/>
          <w:bCs/>
          <w:i/>
          <w:iCs/>
          <w:sz w:val="22"/>
          <w:szCs w:val="22"/>
        </w:rPr>
        <w:t xml:space="preserve">1.1.1. Comparison with prior reviews</w:t>
      </w:r>
    </w:p>
    <w:p>
      <w:pPr>
        <w:spacing w:after="120" w:line="300"/>
        <w:jc w:val="both"/>
      </w:pPr>
      <w:r>
        <w:rPr>
          <w:rFonts w:ascii="Calibri" w:cs="Calibri" w:eastAsia="Calibri" w:hAnsi="Calibri"/>
          <w:sz w:val="22"/>
          <w:szCs w:val="22"/>
        </w:rPr>
        <w:t xml:space="preserve">To position the present contribution, it is useful to enumerate explicitly how this review extends prior published reviews. Wahlroos et al. (2018) [34], the foundational review on which much subsequent Nordic district-integration literature has built, examined Northern-European data-centre waste heat as a future utilisation opportunity but predated both the EnEfG (2023) [41] and the EU Energy Efficiency Directive (2023/1791) [13] regulatory regimes that are now in force. Yuan et al. (2023, 2025) [35, 36] provided the most recent comprehensive treatment of data-centre waste-heat recovery for district heating, but the framing is system-side: they catalogue thermal-output capture mechanisms, network integration architectures, and operational case studies without distinguishing the materials-design axis that determines the recovered-heat temperature. Tervo et al. (2025) [37] focused on the economics of waste-heat recovery under volatile low-carbon electricity markets without revisiting the underlying materials choices. Huang et al. (2020) [33], the most cited review of data centres as prosumers in district-energy systems, again works at the system level rather than the materials level. Pärssinen et al. (2019) [105] performed an investment analysis of Nordic waste-heat recovery without addressing the choice between immersion, cold-plate, or alternative cooling materials. Ebrahimi et al. (2014) [87], Capozzoli and Primiceri (2015) [90], and Habibi Khalaj and Halgamuge (2017) [96] reviewed data-centre cooling technologies but predated both the operational maturity of single-phase immersion (which only crossed TRL 9 in mainstream production data centres around 2022) and the hyperscale AI cold-plate transition (2023–2025). Mahmoud et al. (2021)  addressed recent developments and future trajectories of data-centre cooling but did not explicitly engage with the lifecycle CO₂ and exergy accounting that are central to the sustainability question. The most recent materials-side reviews — Jin et al. (2024)  on two-phase immersion, Lan et al. (2025)  on direct liquid cooling for AI clusters, Wang et al. (2024)  on liquid-metal TIMs, Lin et al. (2024)  on hybrid PCM-and-liquid-metal architectures, Cao and Liu (2024)  on liquid-metal next-generation thermal management — each address one generation in depth but do not unify the three. The contribution of the present review is therefore the unification: framing all three generations within a single materials-design taxonomy, anchoring each to an explicit exergy-quality and lifecycle-CO₂ bound, and validating the first generation against seventeen operational deployments documented to a verified-versus-projected disclosure standard. The reference list reflects this unification by deliberately drawing from both the system-side RSER-tradition reviews and the materials-side electronics-cooling literature.</w:t>
      </w:r>
    </w:p>
    <w:p>
      <w:pPr>
        <w:pStyle w:val="Heading3"/>
        <w:spacing w:after="100" w:before="200"/>
      </w:pPr>
      <w:r>
        <w:rPr>
          <w:rFonts w:ascii="Calibri" w:cs="Calibri" w:eastAsia="Calibri" w:hAnsi="Calibri"/>
          <w:b/>
          <w:bCs/>
          <w:i/>
          <w:iCs/>
          <w:sz w:val="22"/>
          <w:szCs w:val="22"/>
        </w:rPr>
        <w:t xml:space="preserve">1.1.2. Materials-design framing and a note on authorship</w:t>
      </w:r>
    </w:p>
    <w:p>
      <w:pPr>
        <w:spacing w:after="120" w:line="300"/>
        <w:jc w:val="both"/>
      </w:pPr>
      <w:r>
        <w:rPr>
          <w:rFonts w:ascii="Calibri" w:cs="Calibri" w:eastAsia="Calibri" w:hAnsi="Calibri"/>
          <w:sz w:val="22"/>
          <w:szCs w:val="22"/>
        </w:rPr>
        <w:t xml:space="preserve">A note on authorship and disciplinary lens. The present review is a single-author submission from Odinzen LLC, an independent research venture focused on computational thermodynamics — specifically CALPHAD (CALculation of PHAse Diagrams) [125, 126] — applied to cooling-materials selection for compute infrastructure. The materials-design framing of this review reflects that disciplinary orientation: the three-generation taxonomy is anchored in the thermal-conductivity envelope of the cooling medium (a materials property determined by phase composition and microstructure), the gallium-cooling discussion in Section 5 invokes Ga-In-Sn ternary phase equilibria that are amenable to CALPHAD assessment, and the embodied-emissions accounting in Section 4.2.4 draws on cradle-to-gate life-cycle inventories of fluid chemistries. The author prior peer-reviewed work on oxidative solution calorimetry of Ga-In-Sn and Ga-In-Sn-Zn liquid alloys [120] developed the experimental thermodynamic methodology that anchors the Galinstan-related discussion in Section 5.1. The single-author origin is offset by (i) the explicit declaration of disciplinary scope, (ii) the conservative reliance on previously-published materials-property data rather than novel claims, (iii) the deployment of standard materials-thermodynamics methodology (CALPHAD, exergy analysis, lifecycle CO₂ accounting), and (iv) the comprehensive Declaration of Competing Interest provided as a separate file with the submission.</w:t>
      </w:r>
    </w:p>
    <w:p>
      <w:pPr>
        <w:pStyle w:val="Heading3"/>
        <w:spacing w:after="100" w:before="200"/>
      </w:pPr>
      <w:r>
        <w:rPr>
          <w:rFonts w:ascii="Calibri" w:cs="Calibri" w:eastAsia="Calibri" w:hAnsi="Calibri"/>
          <w:b/>
          <w:bCs/>
          <w:i/>
          <w:iCs/>
          <w:sz w:val="22"/>
          <w:szCs w:val="22"/>
        </w:rPr>
        <w:t xml:space="preserve">1.1.3. Generation taxonomy criteria</w:t>
      </w:r>
    </w:p>
    <w:p>
      <w:pPr>
        <w:spacing w:after="120" w:line="300"/>
        <w:jc w:val="both"/>
      </w:pPr>
      <w:r>
        <w:rPr>
          <w:rFonts w:ascii="Calibri" w:cs="Calibri" w:eastAsia="Calibri" w:hAnsi="Calibri"/>
          <w:sz w:val="22"/>
          <w:szCs w:val="22"/>
        </w:rPr>
        <w:t xml:space="preserve">The "generation" taxonomy used in this review reflects three orthogonal axes: (a) order-of-magnitude differences in thermal conductivity at the heat-transfer interface (0.06–0.14 W m⁻¹ K⁻¹ for first-generation dielectric fluids and a partially overlapping 0.4–0.6 W m⁻¹ K⁻¹ for first-generation cold-plate glycol-water; 16–39 W m⁻¹ K⁻¹ at the gallium thermal interface for second generation; greater than 1 kW cm⁻² effective heat removal for embedded two-phase third-generation systems); (b) operating length scale (facility-scale tanks and loops for the first generation, module-scale interfaces and lab-scale loops for the second generation, chip-scale microchannels for the third generation); and (c) Technology Readiness Level at the time of writing (TRL 8–9 for the first generation in mainstream production deployments; TRL 8–9 for second-generation TIM applications but TRL 3–4 for second-generation facility loops; TRL 4–5 for the third generation following the recent commercial scaling of the Microsoft–Corintis ICECool-successor pilot [49]). The taxonomy is intentionally orthogonal to chronology, since first-generation deployments continue to grow rapidly even as the commercial inflection toward direct-to-chip cold-plate cooling postdates the appearance of mature second-generation TIM applications [40, 48a, 48b]. The term "generation" is retained throughout because it captures the qualitative shift in materials-design philosophy at each step (single-phase fluid, liquid metal, embedded two-phase) more naturally than alternatives such as "class" or "tier." The criteria are summarised in Table 1.</w:t>
      </w:r>
    </w:p>
    <w:p>
      <w:pPr>
        <w:spacing w:after="80"/>
        <w:jc w:val="center"/>
      </w:pPr>
      <w:r>
        <w:rPr>
          <w:rFonts w:ascii="Calibri" w:cs="Calibri" w:eastAsia="Calibri" w:hAnsi="Calibri"/>
          <w:b/>
          <w:bCs/>
          <w:i/>
          <w:iCs/>
          <w:sz w:val="20"/>
          <w:szCs w:val="20"/>
        </w:rPr>
        <w:t xml:space="preserve">Table 1. Generation taxonomy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2700"/>
        <w:gridCol w:w="18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Generation</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Representative material</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Thermal conductivity at interface</w:t>
            </w:r>
          </w:p>
        </w:tc>
        <w:tc>
          <w:tcPr>
            <w:tcW w:type="dxa" w:w="2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Operating length scale</w:t>
            </w:r>
          </w:p>
        </w:tc>
        <w:tc>
          <w:tcPr>
            <w:tcW w:type="dxa" w:w="18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TRL (2025–2026)</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1st</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Single-phase dielectric fluid; cold-plate glycol-water</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0.06–0.14 W m⁻¹ K⁻¹ (dielectric); 0.4–0.6 (glycol-water)</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Facility-scale tanks and loops</w:t>
            </w:r>
          </w:p>
        </w:tc>
        <w:tc>
          <w:tcPr>
            <w:tcW w:type="dxa" w:w="1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8–9 (production)</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2nd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Ga and GaInSn eutectics</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16–39 W m⁻¹ K⁻¹</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TIM: module-scale; loop: lab-scale</w:t>
            </w:r>
          </w:p>
        </w:tc>
        <w:tc>
          <w:tcPr>
            <w:tcW w:type="dxa" w:w="1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8–9 (TIM); 3–4 (loop)</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3rd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Embedded two-phase microfluidics (HFO/HFE working fluid)</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&gt;1 kW cm⁻² effective heat removal</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Chip-scale microchannels</w:t>
            </w:r>
          </w:p>
        </w:tc>
        <w:tc>
          <w:tcPr>
            <w:tcW w:type="dxa" w:w="1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4–5 (prototype to pilot)</w:t>
            </w:r>
          </w:p>
        </w:tc>
      </w:tr>
    </w:tbl>
    <w:p>
      <w:pPr>
        <w:pStyle w:val="Heading3"/>
        <w:spacing w:after="100" w:before="200"/>
      </w:pPr>
      <w:r>
        <w:rPr>
          <w:rFonts w:ascii="Calibri" w:cs="Calibri" w:eastAsia="Calibri" w:hAnsi="Calibri"/>
          <w:b/>
          <w:bCs/>
          <w:i/>
          <w:iCs/>
          <w:sz w:val="22"/>
          <w:szCs w:val="22"/>
        </w:rPr>
        <w:t xml:space="preserve">1.1.4. Literature search and selection — chronological and multi-language scope</w:t>
      </w:r>
    </w:p>
    <w:p>
      <w:pPr>
        <w:spacing w:after="120" w:line="300"/>
        <w:jc w:val="both"/>
      </w:pPr>
      <w:r>
        <w:rPr>
          <w:rFonts w:ascii="Calibri" w:cs="Calibri" w:eastAsia="Calibri" w:hAnsi="Calibri"/>
          <w:sz w:val="22"/>
          <w:szCs w:val="22"/>
        </w:rPr>
        <w:t xml:space="preserve">The literature was identified through systematic searches conducted between January 2024 and April 2026, following the PRISMA 2020 reporting framework [114] (full flow diagram: Supplementary Material Figure S1). Databases queried: Web of Science Core Collection, Scopus, Google Scholar, IEEE Xplore, ScienceDirect, J-STAGE (Japanese), CNKI and Wanfang (Chinese), and SwePub (Swedish). English-language search-string combinations spanned ("immersion cooling" AND "data cent*"), ("gallium" AND ("liquid metal" OR "GaInSn" OR "Galinstan") AND ("thermal" OR "cooling")), ("waste heat" AND "district heating" AND ("data cent*" OR "Bitcoin" OR "mining")), ("ICECool" OR "microchannel cooling") AND ("chip" OR "AI accelerator"), ("direct-to-chip" OR "cold plate") AND ("liquid cooling" OR "hyperscale"), and ("EU Energy Efficiency Directive" OR "EnEfG") AND "waste heat". Forward and backward citation tracing was applied to the seminal works of Wahlroos et al. (2018) [34], Huang et al. (2020) [33], Bar-Cohen et al. (2021) [28], Boteler et al. (2019) [19], Yuan et al. (2023, 2025) [35, 36], Daeneke et al. (2018) [100], and Tang et al. (2021) [112]. Trade-press confirmation was cross-checked against company technical disclosures, regulator filings, EU Covenant of Mayors deployment summaries, and independent emissions audits where possible. Industrial reports from the Cambridge Centre for Alternative Finance, the IEA, EESI, Lawrence Berkeley National Laboratory, Bundesnetzagentur, Umweltbundesamt, Energimyndigheten, Statistics Finland, the China Academy of Information and Communications Technology (CAICT), and Euroheat &amp; Power supplied the energy-consumption, district-heating, and grid-intensity baselines.</w:t>
      </w:r>
    </w:p>
    <w:p>
      <w:pPr>
        <w:spacing w:after="120" w:line="300"/>
        <w:jc w:val="both"/>
      </w:pPr>
      <w:r>
        <w:rPr>
          <w:rFonts w:ascii="Calibri" w:cs="Calibri" w:eastAsia="Calibri" w:hAnsi="Calibri"/>
          <w:b/>
          <w:bCs/>
          <w:i/>
          <w:iCs/>
          <w:sz w:val="22"/>
          <w:szCs w:val="22"/>
        </w:rPr>
        <w:t xml:space="preserve">Multi-language coverage. </w:t>
      </w:r>
      <w:r>
        <w:rPr>
          <w:rFonts w:ascii="Calibri" w:cs="Calibri" w:eastAsia="Calibri" w:hAnsi="Calibri"/>
          <w:b w:val="false"/>
          <w:bCs w:val="false"/>
          <w:i w:val="false"/>
          <w:iCs w:val="false"/>
          <w:sz w:val="22"/>
          <w:szCs w:val="22"/>
        </w:rPr>
        <w:t xml:space="preserve">Non-English literature was searched using native-language search terms: Chinese (沉浸式冷却, 数据中心余热, 液态金属冷却, 数据中心制冷), German (Tauchkühlung, Rechenzentrum Abwärme, Energieeffizienzgesetz, Abwärmenutzung), Swedish (datacenter spillvärme, fjärrvärme, värmeåtervinning), Finnish (datakeskus hukkalämpö, kaukolämpö, lämmöntalteenotto), and Japanese (液浸冷却, データセンター排熱, 廃熱回収). Six load-bearing non-English sources are cited in the manuscript: Bundesnetzagentur Monitoringbericht 2024 [121] and Umweltbundesamt 2024 [122] for German grid intensity and EnEfG implementation context; Energimyndigheten Energiläget 2024 [123] for Swedish district-heating fuel decomposition; Statistics Finland Energy in Finland 2024 [124] for Finnish district-heating coverage and grid intensity inputs; and CAICT (2024) [127] for the Chinese national green-data-centre white paper. The non-English coverage is deliberate and necessary: regulatory frameworks (EnEfG in German legislative text), national grid statistics cannot be accurately characterised from English-only sources.</w:t>
      </w:r>
    </w:p>
    <w:p>
      <w:pPr>
        <w:spacing w:after="120" w:line="300"/>
        <w:jc w:val="both"/>
      </w:pPr>
      <w:r>
        <w:rPr>
          <w:rFonts w:ascii="Calibri" w:cs="Calibri" w:eastAsia="Calibri" w:hAnsi="Calibri"/>
          <w:b/>
          <w:bCs/>
          <w:i/>
          <w:iCs/>
          <w:sz w:val="22"/>
          <w:szCs w:val="22"/>
        </w:rPr>
        <w:t xml:space="preserve">Chronological coverage. </w:t>
      </w:r>
      <w:r>
        <w:rPr>
          <w:rFonts w:ascii="Calibri" w:cs="Calibri" w:eastAsia="Calibri" w:hAnsi="Calibri"/>
          <w:b w:val="false"/>
          <w:bCs w:val="false"/>
          <w:i w:val="false"/>
          <w:iCs w:val="false"/>
          <w:sz w:val="22"/>
          <w:szCs w:val="22"/>
        </w:rPr>
        <w:t xml:space="preserve">The reference set spans four decades and is deliberately balanced across eras to avoid both ahistoricity and stale-citation risk. The era distribution is summarised in Table 2. Pre-2000 foundational works (the Tuckerman and Pease microchannel paper [68], Field on diamond [69], and Mudawar on high-heat-flux thermal management [70]) anchor the materials-design discussion: these papers established the microchannel paradigm, the diamond high-conductivity benchmark, and the high-heat-flux taxonomy on which the present three-generation framing rests. The 2000–2010 phase introduces data-centre energy accounting (Koomey [77]; Patel et al. [71]), transport-in-microchannels foundations (Garimella and Sobhan [72]; Kandlikar [74]), PCM theoretical baseline (Sharma et al. [78]; Zalba et al. [73]; Kenisarin and Mahkamov [75]), and the early IBM liquid-cooled-supercomputer waste-heat-utilisation demonstration (Brunschwiler et al. [79]). The 2011–2015 phase establishes the 4GDH framework (Lund et al. [86]) and the Heat Roadmap Europe (Connolly et al. [85]), on-chip two-phase cooling (Marcinichen et al. [84]; Iyengar et al. [83]), the data-centre cooling-review tradition (Ebrahimi et al. [87]; Capozzoli and Primiceri [90]), the foundational galinstan-cooling literature (Hodes et al. [88]), and the ICT-electricity-growth projections that subsequent literature has revisited (Andrae and Edler [89]). The 2016–2020 phase introduces the modern PFAS regulatory frame [99, 108, 109], modern AI-energy accounting [107, 110, 113], modern Bitcoin-energy and carbon accounting [101, 104, 106], modern data-centre prosumer framing [33, 34], modern district-heating integration [92, 93, 94, 95], and modern gallium-electronics review literature [100]. The 2021–2023 phase includes the ICECool fundamentals review [28], gallium liquid-metal review [112], PRISMA 2020 framework [114], and the AI-carbon-emission re-baselining [113, 115]. The 2024–2026 currency block — explicitly weighted per RSER editorial guidance — comprises the bulk of the most recent literature on data-centre waste-heat recovery [35, 36, 37], gallium TIM and liquid-metal scaling [20, 21, 31, 117], embedded two-phase cooling [49], AI energy footprint [116, 118, 119], policy and supply chain [13, 32, 41, 42, 43, 119, 127], national grid statistics for the breakeven analysis [121, 122, 123, 124], and review-methodology compliance [114].</w:t>
      </w:r>
    </w:p>
    <w:p>
      <w:pPr>
        <w:spacing w:after="80"/>
        <w:jc w:val="center"/>
      </w:pPr>
      <w:r>
        <w:rPr>
          <w:rFonts w:ascii="Calibri" w:cs="Calibri" w:eastAsia="Calibri" w:hAnsi="Calibri"/>
          <w:b/>
          <w:bCs/>
          <w:i/>
          <w:iCs/>
          <w:sz w:val="20"/>
          <w:szCs w:val="20"/>
        </w:rPr>
        <w:t xml:space="preserve">Table 2. Distribution of references by publication era.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Publication era</w:t>
            </w:r>
          </w:p>
        </w:tc>
        <w:tc>
          <w:tcPr>
            <w:tcW w:type="dxa" w:w="18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References (count)</w:t>
            </w:r>
          </w:p>
        </w:tc>
        <w:tc>
          <w:tcPr>
            <w:tcW w:type="dxa" w:w="49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Role in this review</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Pre-2000 foundational</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 ([68]–[70])</w:t>
            </w:r>
          </w:p>
        </w:tc>
        <w:tc>
          <w:tcPr>
            <w:tcW w:type="dxa" w:w="4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Microchannel cooling, diamond thermal materials, high-heat-flux paradigm.</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2000–2010</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~10 ([26], [71]–[75], [77], [79], [80], [82])</w:t>
            </w:r>
          </w:p>
        </w:tc>
        <w:tc>
          <w:tcPr>
            <w:tcW w:type="dxa" w:w="4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DC energy accounting, microchannel transport, PCM theoretical baseline, supercomputer waste heat.</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2011–2015</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~12 ([19] context, [81]–[90], [102] context)</w:t>
            </w:r>
          </w:p>
        </w:tc>
        <w:tc>
          <w:tcPr>
            <w:tcW w:type="dxa" w:w="4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On-chip two-phase, 4GDH and Heat Roadmap Europe, DC cooling reviews, galinstan foundations.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2016–2020</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~30 ([33], [34], [91]–[111])</w:t>
            </w:r>
          </w:p>
        </w:tc>
        <w:tc>
          <w:tcPr>
            <w:tcW w:type="dxa" w:w="4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PFAS regulatory frame, modern AI/Bitcoin energy accounting, DH integration, gallium reviews.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2021–2023</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~16 ([25], [28], [35], [36], [37], [105], –[117])</w:t>
            </w:r>
          </w:p>
        </w:tc>
        <w:tc>
          <w:tcPr>
            <w:tcW w:type="dxa" w:w="4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ICECool fundamentals, Tang et al. gallium review, PRISMA 2020, AI carbon re-baselining.</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2024–2026 (currency block)</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~50 ([1]–[3], [5]–[7], [13]–[18], [20]–[22], [31], [40]–[43], [45]–[49], –[127])</w:t>
            </w:r>
          </w:p>
        </w:tc>
        <w:tc>
          <w:tcPr>
            <w:tcW w:type="dxa" w:w="4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Recent regulation, AI-DC architectures, multi-language statistics, breakeven inputs.</w:t>
            </w:r>
          </w:p>
        </w:tc>
      </w:tr>
    </w:tbl>
    <w:p>
      <w:pPr>
        <w:spacing w:after="120" w:line="300"/>
        <w:jc w:val="both"/>
      </w:pPr>
      <w:r>
        <w:rPr>
          <w:rFonts w:ascii="Calibri" w:cs="Calibri" w:eastAsia="Calibri" w:hAnsi="Calibri"/>
          <w:sz w:val="22"/>
          <w:szCs w:val="22"/>
        </w:rPr>
        <w:t xml:space="preserve">Inclusion criteria: peer-reviewed papers reporting thermal properties, deployment-scale measurements, or engineering analysis of cooling materials in compute infrastructure; trade-press reports of operational installations with at least site location, thermal output, and application identified; primary regulatory documents (ECHA, ACGIH, EU directives, EnEfG, MIIT, USGS); national grid-intensity statistics from official agencies (Bundesnetzagentur, Umweltbundesamt, Energimyndigheten, Statistics Finland, US EPA eGRID, IEA); and standards documents (ASHRAE TC 9.9, OCP, ISO 7241/16028, ICMJE, PRISMA 2020). Exclusion criteria: air-cooled cooling-tower designs, refrigeration cycles unrelated to compute thermal capture, non-electronic uses of liquid metals (nuclear reactor coolants, thermal-spray coatings), and deployment reports without verifiable site identification.</w:t>
      </w:r>
    </w:p>
    <w:p>
      <w:pPr>
        <w:spacing w:after="120" w:line="300"/>
        <w:jc w:val="both"/>
      </w:pPr>
      <w:r>
        <w:rPr>
          <w:rFonts w:ascii="Calibri" w:cs="Calibri" w:eastAsia="Calibri" w:hAnsi="Calibri"/>
          <w:sz w:val="22"/>
          <w:szCs w:val="22"/>
        </w:rPr>
        <w:t xml:space="preserve">The initial database search returned 2,847 records after deduplication. Title and abstract screening yielded 412 candidates. Full-text assessment for eligibility yielded 173 records included in the qualitative synthesis: 87 peer-reviewed articles, 41 trade-press articles documenting operational deployments, 22 regulatory and standards documents, 15 industrial and consultancy reports, and 8 conference proceedings. The 136-entry reference list of the present manuscript is the most directly load-bearing subset of this corpus; the supporting corpus is available on request from the author. A PRISMA 2020-compatible flow diagram [114] is provided as Figure S1 in the Supplementary Material.</w:t>
      </w:r>
    </w:p>
    <w:p>
      <w:pPr>
        <w:pStyle w:val="Heading3"/>
        <w:spacing w:after="100" w:before="200"/>
      </w:pPr>
      <w:r>
        <w:rPr>
          <w:rFonts w:ascii="Calibri" w:cs="Calibri" w:eastAsia="Calibri" w:hAnsi="Calibri"/>
          <w:b/>
          <w:bCs/>
          <w:i/>
          <w:iCs/>
          <w:sz w:val="22"/>
          <w:szCs w:val="22"/>
        </w:rPr>
        <w:t xml:space="preserve">1.1.5. Limitations of this review</w:t>
      </w:r>
    </w:p>
    <w:p>
      <w:pPr>
        <w:spacing w:after="120" w:line="300"/>
        <w:jc w:val="both"/>
      </w:pPr>
      <w:r>
        <w:rPr>
          <w:rFonts w:ascii="Calibri" w:cs="Calibri" w:eastAsia="Calibri" w:hAnsi="Calibri"/>
          <w:sz w:val="22"/>
          <w:szCs w:val="22"/>
        </w:rPr>
        <w:t xml:space="preserve">Three limitations of the present review should be made explicit to the reader. First, the deployment evidence base is asymmetric across regions. Twelve of the seventeen documented heat-reuse installations are in Europe, three in North America, two in Asia, and none in the Middle East, Australia, Latin America, or Africa. This reflects disclosure norms (European operators are subject to EU heat-recovery reporting under the Energy Efficiency Directive, generating verifiable public data) rather than the absence of operational installations elsewhere. Industry reports indicate operational installations at Alibaba and Tencent sites in China, at hyperscalers in Singapore and Japan, and at several Indian operators that are not included here owing to insufficient public technical disclosure. The conclusions of this review therefore generalise primarily to the European context and to other regions where comparable disclosure norms emerge. Second, the lifecycle CO₂ model in Section 4.2 is a deterministic point-estimate framework with explicit sensitivity to thermal utilisation rate and displaced-fuel mix, not a full probabilistic life-cycle assessment in the ISO 14040 sense. Embodied emissions of cooling-system hardware (heat exchangers, pumps, manifolds, district-heating pipe retrofits) are not included; only the embodied emissions of the cooling fluid itself are quantified (Section 4.2.4). A complete LCA would yield a wider uncertainty band but would not, in our assessment, change the qualitative conclusion that net-positive CO₂ outcomes are conditional on local grid intensity. Third, the present review treats the cooling-material design space, not the broader thermodynamic context of data-centre cooling (free cooling, evaporative augmentation, on-chip thermoelectric, cryogenic computing for quantum applications), each of which has a substantial literature in its own right [90, 96, 97]. These exclusions are deliberate: they preserve the unifying argument that compute waste-heat recovery is bounded by the cooling-material choice.</w:t>
      </w:r>
    </w:p>
    <w:p>
      <w:pPr>
        <w:pStyle w:val="Heading3"/>
        <w:spacing w:after="100" w:before="200"/>
      </w:pPr>
      <w:r>
        <w:rPr>
          <w:rFonts w:ascii="Calibri" w:cs="Calibri" w:eastAsia="Calibri" w:hAnsi="Calibri"/>
          <w:b/>
          <w:bCs/>
          <w:i/>
          <w:iCs/>
          <w:sz w:val="22"/>
          <w:szCs w:val="22"/>
        </w:rPr>
        <w:t xml:space="preserve">1.1.6. Use of AI-assisted tools</w:t>
      </w:r>
    </w:p>
    <w:p>
      <w:pPr>
        <w:spacing w:after="120" w:line="300"/>
        <w:jc w:val="both"/>
      </w:pPr>
      <w:r>
        <w:rPr>
          <w:rFonts w:ascii="Calibri" w:cs="Calibri" w:eastAsia="Calibri" w:hAnsi="Calibri"/>
          <w:sz w:val="22"/>
          <w:szCs w:val="22"/>
        </w:rPr>
        <w:t xml:space="preserve">AI-assistance disclosure is consolidated in a single statement at the end of the manuscript ("Use of AI-Assisted Tools"), following RSER 2025 guidance on generative AI use in submitted manuscripts.</w:t>
      </w:r>
    </w:p>
    <w:p>
      <w:pPr>
        <w:pStyle w:val="Heading1"/>
        <w:spacing w:after="160" w:before="320"/>
      </w:pPr>
      <w:r>
        <w:rPr>
          <w:rFonts w:ascii="Calibri" w:cs="Calibri" w:eastAsia="Calibri" w:hAnsi="Calibri"/>
          <w:b/>
          <w:bCs/>
          <w:sz w:val="28"/>
          <w:szCs w:val="28"/>
        </w:rPr>
        <w:t xml:space="preserve">2. Thermodynamic Framework</w:t>
      </w:r>
    </w:p>
    <w:p>
      <w:pPr>
        <w:spacing w:after="120" w:line="300"/>
        <w:jc w:val="both"/>
      </w:pPr>
      <w:r>
        <w:rPr>
          <w:rFonts w:ascii="Calibri" w:cs="Calibri" w:eastAsia="Calibri" w:hAnsi="Calibri"/>
          <w:sz w:val="22"/>
          <w:szCs w:val="22"/>
        </w:rPr>
        <w:t xml:space="preserve">Every processor converts electricity into computation and heat at a ratio of approximately 100 percent. The first law of thermodynamics guarantees energy conservation: the electrical input to the data centre, neglecting the modest electromagnetic-emission losses (typically &lt;0.1 percent of electrical input), exits the facility as thermal energy in the cooling stream and, to a much smaller extent, in the exhaust airstream. The second law constrains the quality of this thermal energy. Electricity entering the facility is high-grade work-potential energy with an exergy fraction of unity; heat exiting at 65 °C is low-grade thermal energy with an exergy fraction of only ~16 percent at a 283 K (10 °C) ambient reference. This thermodynamic asymmetry — that the second law has destroyed approximately five-sixths of the input exergy by the time the cooling fluid leaves the rack — is the foundational reason that waste-heat recovery from compute is constrained to space and water heating rather than to mechanical or electronic work, and it is why output temperature is the dominant materials-design variable for downstream energy-system integration [86, 92, 94]. The framing of compute waste heat as a low-exergy product is consistent with the broader literature on industrial waste heat: Bühler et al. [98] documented that industrial waste heat in Denmark, integrated by heat pumps into district-heating networks, follows the same exergy-quality logic.</w:t>
      </w:r>
    </w:p>
    <w:p>
      <w:pPr>
        <w:spacing w:after="120" w:line="300"/>
        <w:jc w:val="both"/>
      </w:pPr>
      <w:r>
        <w:rPr>
          <w:rFonts w:ascii="Calibri" w:cs="Calibri" w:eastAsia="Calibri" w:hAnsi="Calibri"/>
          <w:b/>
          <w:bCs/>
          <w:i/>
          <w:iCs/>
          <w:sz w:val="22"/>
          <w:szCs w:val="22"/>
        </w:rPr>
        <w:t xml:space="preserve">Exergy quality of recovered heat. </w:t>
      </w:r>
      <w:r>
        <w:rPr>
          <w:rFonts w:ascii="Calibri" w:cs="Calibri" w:eastAsia="Calibri" w:hAnsi="Calibri"/>
          <w:b w:val="false"/>
          <w:bCs w:val="false"/>
          <w:i w:val="false"/>
          <w:iCs w:val="false"/>
          <w:sz w:val="22"/>
          <w:szCs w:val="22"/>
        </w:rPr>
        <w:t xml:space="preserve">The Carnot factor (1 − T₀/T) bounds the exergy fraction of a heat stream at temperature T relative to a reference environment at T₀. The choice of T₀ = 283 K (10 °C) used throughout this review is the long-term mean Northern-European outdoor temperature relevant to district-heating source-side operation, consistent with the framework adopted by Lund et al. [86, 94] and Werner [92]. The sensitivity of the Carnot fraction to the choice of T₀ is documented in Supplementary Section S2. At T₀ = 283 K, heat captured at 35 °C (308 K) carries an exergy fraction of approximately 8 percent; at 60 °C (333 K, the cold-plate-output range) approximately 15 percent; at 65 °C (338 K) approximately 16 percent; at 75 °C (348 K, the immersion-output range) approximately 19 percent; at 80 °C (353 K) approximately 20 percent; and at 95 °C (368 K, the projected gallium-loop maximum) approximately 23 percent. The exergy progression has three structural implications. First, the three-generation progression from air-cooled (~8 percent exergy fraction) to immersion (~16–19 percent) roughly doubles the exergy content of the rejected heat; the further step to a projected 80–95 °C gallium loop adds another approximately 20–25 percent on top of immersion. Second, because Carnot fraction is concave in T, the marginal exergy gain per kelvin of output-temperature increase diminishes with temperature: the air-to-cold-plate step gains approximately 7 percentage points of exergy fraction over a 30 K temperature increase, while the immersion-to-gallium step gains only approximately 4 percentage points over a comparable 20 K increase. The exergy argument therefore favours moving from air to liquid cooling more strongly than it favours moving from liquid to gallium-based cooling for any given application. Third, the exergy framework bounds the upper limit of "100 percent recovery" rhetoric: even at 75 °C, more than four-fifths of the input electricity exergy has been destroyed by the compute stage, regardless of how well the resulting low-grade heat is captured. What heat recovery accomplishes is not the recovery of work-potential energy but the prevention of a second exergy-destruction event (atmospheric rejection to ambient) and the substitution for primary heating fuels whose exergy fraction at the point of combustion is much higher [70, 74, 79, 84].</w:t>
      </w:r>
    </w:p>
    <w:p>
      <w:pPr>
        <w:spacing w:after="120" w:line="300"/>
        <w:jc w:val="both"/>
      </w:pPr>
      <w:r>
        <w:rPr>
          <w:rFonts w:ascii="Calibri" w:cs="Calibri" w:eastAsia="Calibri" w:hAnsi="Calibri"/>
          <w:b/>
          <w:bCs/>
          <w:i/>
          <w:iCs/>
          <w:sz w:val="22"/>
          <w:szCs w:val="22"/>
        </w:rPr>
        <w:t xml:space="preserve">Heat-pump comparison in exergy terms. </w:t>
      </w:r>
      <w:r>
        <w:rPr>
          <w:rFonts w:ascii="Calibri" w:cs="Calibri" w:eastAsia="Calibri" w:hAnsi="Calibri"/>
          <w:b w:val="false"/>
          <w:bCs w:val="false"/>
          <w:i w:val="false"/>
          <w:iCs w:val="false"/>
          <w:sz w:val="22"/>
          <w:szCs w:val="22"/>
        </w:rPr>
        <w:t xml:space="preserve">A modern industrial heat pump delivers 4–6 joules of thermal energy per joule of electricity consumed under realistic operating conditions (typical operating envelope: source temperature 30–70 °C, sink temperature 60–90 °C, lift 30–50 K), with high-temperature heat pumps reaching supply temperatures of 120–150 °C at COPs of 2.2–3.0 [44, 45, 93, 98]. Earlier estimates of COP 3–4 from pre-2015 heat-pump literature understate the current state of the art for low-lift industrial applications, where COPs of 5–6 are now routinely demonstrated. A mining rig or AI accelerator delivers approximately 1 joule of heat per joule of electricity, plus computation revenue. Mining-as-heating and AI-as-heating are therefore thermodynamically inferior to a heat pump for pure heating purposes by a factor of roughly five at modern industrial COPs. Stated in exergy terms: at COP 5.5 lifting 60 → 75 °C, a heat pump produces 5.5 J of heat at ~19 percent exergy fraction per J of electricity at ~100 percent exergy fraction; mining-as-heating produces 1 J of heat at the same ~19 percent exergy fraction per J of electricity at ~100 percent exergy fraction. The factor-of-five thermodynamic deficit is identical whether stated in energy or exergy terms — the COP advantage of the heat pump is preserved under the second law. Mining-as-heating and AI-as-heating are therefore economically competitive only when the value of the co-product (cryptocurrency revenue, AI training output) offsets the COP gap. The materials question is how to maximise the temperature and quality of the rejected heat so that the gap narrows and the co-product value increases, and this is the question to which the three-generation taxonomy provides a structural answer.</w:t>
      </w:r>
    </w:p>
    <w:p>
      <w:pPr>
        <w:spacing w:after="120" w:line="300"/>
        <w:jc w:val="both"/>
      </w:pPr>
      <w:r>
        <w:rPr>
          <w:rFonts w:ascii="Calibri" w:cs="Calibri" w:eastAsia="Calibri" w:hAnsi="Calibri"/>
          <w:sz w:val="22"/>
          <w:szCs w:val="22"/>
        </w:rPr>
        <w:t xml:space="preserve">Entropy generation analysis offers a complementary lens on the materials choice. In the air-cooled baseline, entropy is generated primarily at three interfaces: the chip-to-air convection boundary (where the chip operates at ~80–100 °C and air at 25–35 °C), the air-to-coil convection boundary in the data-hall heat exchanger, and the coil-to-cooling-tower water boundary outside the facility. Each of these boundaries dissipates a substantial fraction of the available temperature difference as entropy generation. Replacing air with a dielectric fluid eliminates the first two of these boundaries and replaces them with a single chip-to-fluid boundary at much higher heat-transfer coefficient (~1,000–5,000 W m⁻² K⁻¹ for single-phase immersion versus ~10–100 W m⁻² K⁻¹ for forced-air convection). The net effect is that the cooling fluid temperature can approach the chip temperature much more closely than air can, preserving a much larger fraction of the available temperature difference for downstream use. The same logic, extended to liquid metals (heat-transfer coefficients of 10,000–30,000 W m⁻² K⁻¹ at the gallium-to-metal interface [88, 100, 112, 117]) and to embedded two-phase microchannels (effectively eliminating the chip-to-fluid boundary by integrating the fluid pathway into the silicon itself [28, 68, 70, 84]), explains the temperature-progression observed across the three generations.</w:t>
      </w:r>
    </w:p>
    <w:p>
      <w:pPr>
        <w:pStyle w:val="Heading1"/>
        <w:spacing w:after="160" w:before="320"/>
      </w:pPr>
      <w:r>
        <w:rPr>
          <w:rFonts w:ascii="Calibri" w:cs="Calibri" w:eastAsia="Calibri" w:hAnsi="Calibri"/>
          <w:b/>
          <w:bCs/>
          <w:sz w:val="28"/>
          <w:szCs w:val="28"/>
        </w:rPr>
        <w:t xml:space="preserve">3. First-Generation Cooling Materials: Dielectric Fluids and Cold-Plate Architectures</w:t>
      </w:r>
    </w:p>
    <w:p>
      <w:pPr>
        <w:pStyle w:val="Heading2"/>
        <w:spacing w:after="120" w:before="240"/>
      </w:pPr>
      <w:r>
        <w:rPr>
          <w:rFonts w:ascii="Calibri" w:cs="Calibri" w:eastAsia="Calibri" w:hAnsi="Calibri"/>
          <w:b/>
          <w:bCs/>
          <w:sz w:val="24"/>
          <w:szCs w:val="24"/>
        </w:rPr>
        <w:t xml:space="preserve">3.1. Single-phase dielectric immersion: thermal properties and performance envelope</w:t>
      </w:r>
    </w:p>
    <w:p>
      <w:pPr>
        <w:spacing w:after="120" w:line="300"/>
        <w:jc w:val="both"/>
      </w:pPr>
      <w:r>
        <w:rPr>
          <w:rFonts w:ascii="Calibri" w:cs="Calibri" w:eastAsia="Calibri" w:hAnsi="Calibri"/>
          <w:sz w:val="22"/>
          <w:szCs w:val="22"/>
        </w:rPr>
        <w:t xml:space="preserve">Single-phase immersion fluids fall into three principal chemical families: engineered hydrocarbons (refined paraffinic or naphthenic mineral oils, or synthetic polyalphaolefins), synthetic esters (typically pentaerythritol esters of long-chain fatty acids), and silicone-based fluids (less common in compute applications owing to compatibility issues with elastomer seals). The thermal-conductivity envelope across these chemistries is approximately 0.06–0.14 W m⁻¹ K⁻¹, with specific heat capacities of 1.5–2.1 kJ kg⁻¹ K⁻¹, densities of 0.8–0.9 g cm⁻³, and operating ranges from approximately −40 °C to +200 °C [9, 10, 11]. They are chemically inert under typical operating conditions, electrically non-conductive with dielectric strength in excess of 35 kV per 2.5 mm gap, and non-flammable by virtue of high flash points (typically 250 °C or higher) and the elimination of the air-side oxygen access that would be required for combustion. The broader liquid cooling market for AI data centres is projected to grow from USD 2.8 billion in 2025 to over USD 21 billion by 2032 [46], driven primarily by the inability of the air-side heat-transfer envelope to accommodate the heat-flux densities of contemporary AI-accelerator silicon. Comprehensive reviews of immersion-cooling chemistry, thermophysics, and engineering practice are provided in Daraghmeh and Wang [97], Habibi Khalaj and Halgamuge [96], Mahmoud et al (open-bath design specifically reviewed in Tuma [133]). , Jin et al. , and Lan et al. .</w:t>
      </w:r>
    </w:p>
    <w:p>
      <w:pPr>
        <w:spacing w:after="120" w:line="300"/>
        <w:jc w:val="both"/>
      </w:pPr>
      <w:r>
        <w:rPr>
          <w:rFonts w:ascii="Calibri" w:cs="Calibri" w:eastAsia="Calibri" w:hAnsi="Calibri"/>
          <w:sz w:val="22"/>
          <w:szCs w:val="22"/>
        </w:rPr>
        <w:t xml:space="preserve">The principal failure modes of single-phase dielectric fluids over their service life are oxidative degradation, hydrolysis (in the case of ester chemistries with ingressed moisture), and progressive contamination by particulate matter and gas evolution from cooled components. Oxidative degradation manifests as a measurable increase in total acid number (TAN) after approximately 8,000–12,000 hours of continuous operation above 60 °C [9], accompanied by viscosity increase and dielectric-strength decrease. Replacement intervals of 5–8 years are typical for closed-loop systems with adequate oxygen exclusion and particulate filtration [10, 11]. The fluid-replacement cycle is the principal recurring cost component for single-phase immersion operations and is the controlling factor in the embodied-emissions accounting documented in Section 4.2.4.</w:t>
      </w:r>
    </w:p>
    <w:p>
      <w:pPr>
        <w:spacing w:after="120" w:line="300"/>
        <w:jc w:val="both"/>
      </w:pPr>
      <w:r>
        <w:rPr>
          <w:rFonts w:ascii="Calibri" w:cs="Calibri" w:eastAsia="Calibri" w:hAnsi="Calibri"/>
          <w:sz w:val="22"/>
          <w:szCs w:val="22"/>
        </w:rPr>
        <w:t xml:space="preserve">The thermal performance of single-phase immersion at the chip level can be approximated by standard correlations for natural-convection and mixed-convection flow over heated surfaces, with Nusselt numbers in the range 30–200 depending on rack geometry, flow rate, and fluid properties. The system-level performance, however, is bounded not by the local heat-transfer coefficient but by the loop temperature rise across the rack and the consequent supply temperature to the downstream heat exchanger. Production immersion deployments typically operate with a loop temperature rise of 10–15 K and a supply-side return temperature of 65–75 °C, suitable for direct integration with European district-heating networks operating in the 60–80 °C primary-supply window [4, 85, 86, 92, 93].</w:t>
      </w:r>
    </w:p>
    <w:p>
      <w:pPr>
        <w:pStyle w:val="Heading3"/>
        <w:spacing w:after="100" w:before="200"/>
      </w:pPr>
      <w:r>
        <w:rPr>
          <w:rFonts w:ascii="Calibri" w:cs="Calibri" w:eastAsia="Calibri" w:hAnsi="Calibri"/>
          <w:b/>
          <w:bCs/>
          <w:i/>
          <w:iCs/>
          <w:sz w:val="22"/>
          <w:szCs w:val="22"/>
        </w:rPr>
        <w:t xml:space="preserve">3.1.1. Two-phase fluorocarbon fluids and the PFAS phase-out</w:t>
      </w:r>
    </w:p>
    <w:p>
      <w:pPr>
        <w:spacing w:after="120" w:line="300"/>
        <w:jc w:val="both"/>
      </w:pPr>
      <w:r>
        <w:rPr>
          <w:rFonts w:ascii="Calibri" w:cs="Calibri" w:eastAsia="Calibri" w:hAnsi="Calibri"/>
          <w:sz w:val="22"/>
          <w:szCs w:val="22"/>
        </w:rPr>
        <w:t xml:space="preserve">Two-phase fluorocarbon fluids offer higher volumetric heat-transfer coefficients than single-phase fluids through phase-change latent heat, with effective heat-transfer coefficients of 5,000–20,000 W m⁻² K⁻¹ during nucleate-boiling operation [70, 74, 84]. Several historically dominant formulations — perfluorocarbons (FC-72, FC-77, FC-87), hydrofluoroethers (HFE-7100, HFE-7200, HFE-7500), and certain HFC-derivative fluids — fall under the PFAS classification proposed for restriction under the EU REACH framework. The European Chemicals Agency Annex XV proposal, submitted in February 2023 by Germany, the Netherlands, Denmark, Sweden, and Norway, would restrict approximately 10,000 PFAS substances; ECHA Risk Assessment and Socio-Economic Analysis Committee opinions are scheduled for 2026–2027, with restrictions taking effect on a staggered timeline [12]. PFAS chemistry, persistence in the environment, bioaccumulation behaviour, and regulatory rationale are reviewed comprehensively in Wang et al. [99], Glüge et al. [108], and Cousins et al. [109]. The 3M announcement in December 2022 of its intent to exit all PFAS manufacturing globally by the end of 2025 has further constrained the supply pipeline for two-phase fluorocarbon coolants [47].</w:t>
      </w:r>
    </w:p>
    <w:p>
      <w:pPr>
        <w:spacing w:after="120" w:line="300"/>
        <w:jc w:val="both"/>
      </w:pPr>
      <w:r>
        <w:rPr>
          <w:rFonts w:ascii="Calibri" w:cs="Calibri" w:eastAsia="Calibri" w:hAnsi="Calibri"/>
          <w:sz w:val="22"/>
          <w:szCs w:val="22"/>
        </w:rPr>
        <w:t xml:space="preserve">Hydrofluoroolefin (HFO) and hydrofluoroether (HFE) alternatives exist but at varying readiness levels. HFE-7100 (boiling point 61 °C) and HFE-7200 (boiling point 76 °C) are commercially available but typically have higher boiling points and lower latent heats than the perfluorocarbons they replace, and their HFE classification places them at the boundary of the proposed PFAS restriction scope. R1234ze(E) is an HFO with a 100-year global-warming potential of approximately 6 (IPCC AR5/AR6 reference) — three orders of magnitude below historic HFC alternatives even if not the sub-unity value sometimes quoted on shorter time horizons — and has been demonstrated under DARPA ICECool [28] at exit temperatures suitable for district-heating integration. Supply chains for these alternatives remain consolidated among a small number of fluorochemical manufacturers. Operators planning two-phase deployments above 1 MW in the EU should assume HFO and HFE substitution by 2027–2028 and design loop chemistry, condenser surface treatment, and elastomer-seal selection accordingly. The lifecycle-emissions trade-off of two-phase versus single-phase deployments depends on (i) the embodied-emissions intensity of the working fluid, (ii) the typical leak rate over the system service life, and (iii) the end-of-life disposal pathway, each of which is materially worse for PFAS-classified compounds than for the engineered-hydrocarbon and synthetic-ester alternatives used in single-phase systems.</w:t>
      </w:r>
    </w:p>
    <w:p>
      <w:pPr>
        <w:pStyle w:val="Heading2"/>
        <w:spacing w:after="120" w:before="240"/>
      </w:pPr>
      <w:r>
        <w:rPr>
          <w:rFonts w:ascii="Calibri" w:cs="Calibri" w:eastAsia="Calibri" w:hAnsi="Calibri"/>
          <w:b/>
          <w:bCs/>
          <w:sz w:val="24"/>
          <w:szCs w:val="24"/>
        </w:rPr>
        <w:t xml:space="preserve">3.2. Direct-to-chip cold-plate cooling: parallel architecture for hyperscale AI</w:t>
      </w:r>
    </w:p>
    <w:p>
      <w:pPr>
        <w:spacing w:after="120" w:line="300"/>
        <w:jc w:val="both"/>
      </w:pPr>
      <w:r>
        <w:rPr>
          <w:rFonts w:ascii="Calibri" w:cs="Calibri" w:eastAsia="Calibri" w:hAnsi="Calibri"/>
          <w:sz w:val="22"/>
          <w:szCs w:val="22"/>
        </w:rPr>
        <w:t xml:space="preserve">A second first-generation architecture has emerged in parallel with immersion: direct-to-chip cold-plate liquid cooling, in which cold plates are mounted directly onto CPUs, GPUs, memory modules, and voltage regulators, with single-phase water-glycol or specialised refrigerant circulating through internal channels machined or additively manufactured into the plate [40]. The cold-plate design space spans a range of channel geometries (parallel rectangular, serpentine, manifold-microchannel, pin-fin) and working-fluid chemistries (typically 25–40 percent propylene-glycol-in-water by volume, with corrosion inhibitors and biocides), with the choice dictated by the heat-flux density to be dissipated and the rack-level pressure-drop and pump-power budget [71, 83, 96].</w:t>
      </w:r>
    </w:p>
    <w:p>
      <w:pPr>
        <w:spacing w:after="120" w:line="300"/>
        <w:jc w:val="both"/>
      </w:pPr>
      <w:r>
        <w:rPr>
          <w:rFonts w:ascii="Calibri" w:cs="Calibri" w:eastAsia="Calibri" w:hAnsi="Calibri"/>
          <w:sz w:val="22"/>
          <w:szCs w:val="22"/>
        </w:rPr>
        <w:t xml:space="preserve">By 2025, direct-to-chip cold plates had become the dominant production cooling architecture among hyperscale AI operators. The Uptime Institute Global Data Center Survey 2024 [48a] documented the architectural shift in production deployments; the Lawrence Berkeley National Laboratory United States data-centre energy report 2024 [48b] documented the parallel shift in aggregate national energy consumption. Per-vendor confirmations include Microsoft Azure Maia AI cluster disclosures at Microsoft Build and Ignite (2023–2024); Google TPUv4 and TPUv5 architecture papers describing the rack-level cold-plate integration; Meta Engineering Blog posts on rack-cooling for LLaMA training; and AWS Trainium 2 cooling-architecture documentation. ASHRAE Technical Committee 9.9 has formalised liquid-cooling temperature classes (W17 through W45, indexed to the maximum facility supply water temperature in °C) that frame the operating envelopes these production deployments occupy [48c]. The Open Compute Project Advanced Cooling Solutions reference designs [48d] provide the manifold, coolant-distribution-unit (CDU), and quick-disconnect specifications now adopted in hyperscale procurement; these specifications are the de facto interoperability standard between hyperscaler rack designs and third-party rack-cooling vendors (CoolIT, Asetek, Motivair, Vertiv).</w:t>
      </w:r>
    </w:p>
    <w:p>
      <w:pPr>
        <w:spacing w:after="120" w:line="300"/>
        <w:jc w:val="both"/>
      </w:pPr>
      <w:r>
        <w:rPr>
          <w:rFonts w:ascii="Calibri" w:cs="Calibri" w:eastAsia="Calibri" w:hAnsi="Calibri"/>
          <w:sz w:val="22"/>
          <w:szCs w:val="22"/>
        </w:rPr>
        <w:t xml:space="preserve">Cold-plate cooling captures heat at 50–65 °C, generally below the immersion temperature window of 65–75 °C and below the European district-heating supply specification of 60–80 °C. Integration with district heating therefore requires a low-temperature-lift heat pump, with coefficients of performance (COPs) of 5–6 typical for the 50 °C to 75 °C lift in modern water-source heat pumps [44, 45, 93, 98]. The heat-pump electricity penalty is quantified in the parallel cold-plate AI case study of Section 4.2.3. The high-heat-flux engineering trade-offs across jet-impingement, spray, and microchannel cooling options were systematically compared by Kandlikar and Bapat [134], whose framework continues to inform contemporary cold-plate channel-geometry selection. The IBM Power 775 supercomputer water-cooling system reported by Ellsworth et al. [136] is one of the foundational large-scale demonstrations of facility-integrated cold-plate cooling at supercomputer scale, predating the contemporary hyperscale AI build-out by approximately a decade. Cold-plate cooling enables much higher rack-power densities than single-phase immersion — up to 1 MW per rack demonstrated by NVIDIA–Vertiv reference designs for the GB200 NVL72 platform — and is compatible with existing data-centre form factors, which has driven its adoption by hyperscale AI operators with intense floorspace and time-to-deployment pressures . From a materials-design standpoint, cold-plate cooling sits in the same generation as immersion, rejecting heat at temperatures within or just below the district-heating window; the architectural difference (closed-loop with pumps, leak detection, manifold reliability requirements) shapes the engineering challenges but not the materials thesis.</w:t>
      </w:r>
    </w:p>
    <w:p>
      <w:pPr>
        <w:pStyle w:val="Heading3"/>
        <w:spacing w:after="100" w:before="200"/>
      </w:pPr>
      <w:r>
        <w:rPr>
          <w:rFonts w:ascii="Calibri" w:cs="Calibri" w:eastAsia="Calibri" w:hAnsi="Calibri"/>
          <w:b/>
          <w:bCs/>
          <w:i/>
          <w:iCs/>
          <w:sz w:val="22"/>
          <w:szCs w:val="22"/>
        </w:rPr>
        <w:t xml:space="preserve">3.2.1. Engineering challenges for direct-to-chip cold-plate cooling</w:t>
      </w:r>
    </w:p>
    <w:p>
      <w:pPr>
        <w:spacing w:after="120" w:line="300"/>
        <w:jc w:val="both"/>
      </w:pPr>
      <w:r>
        <w:rPr>
          <w:rFonts w:ascii="Calibri" w:cs="Calibri" w:eastAsia="Calibri" w:hAnsi="Calibri"/>
          <w:sz w:val="22"/>
          <w:szCs w:val="22"/>
        </w:rPr>
        <w:t xml:space="preserve">Cold-plate architectures introduce a challenge set that differs from dielectric immersion in four principal ways. (i) Loop-fluid chemistry: dilute glycol-water working fluids accumulate dissolved metals (copper, nickel, brass from valves and fittings) and biological growth (most commonly sulphate-reducing bacteria and biofilm-forming pseudomonads) over service life, requiring biocide chemistry and routine ion-exchange maintenance not present in dielectric-immersion loops. (ii) Manifold reliability and leak detection: with liquid running within centimetres of energised silicon, a single manifold leak above the rack is a high-cost failure mode. Production deployments use dual-redundant leak detection (resistance-based detection mats plus dielectric-fluid tracer chemistry) and dripless quick-disconnect couplings conforming to the ISO 7241 and ISO 16028 dry-disconnect series; ASME B16.21 governs gasket selection at rigid pipe-to-pipe flanges where used. (iii) Heat-exchanger fouling and pressure drop: cold-plate microchannel geometries (typically 300–800 µm channel widths, with manifold-microchannel architectures pushing this to 100–300 µm at the local channel) are sensitive to particulate fouling. Filtration to 5 µm absolute and corrosion-inhibitor stability above 60 °C are operating-cost-relevant constraints. (iv) Pump and CDU reliability: coolant distribution units typically include redundant pumps with hot-swap capability; CDU mean-time-between-failure targets in the 50,000–100,000 hour range are now standard for hyperscale cold-plate deployments. None of these challenges are intractable, and direct-to-chip cold-plate cooling has reached TRL 9 in production AI infrastructure, but the materials and engineering choices it imposes are different from those of dielectric immersion and shape the deployment economics independently of the thermal-conductivity argument.</w:t>
      </w:r>
    </w:p>
    <w:p>
      <w:pPr>
        <w:pStyle w:val="Heading2"/>
        <w:spacing w:after="120" w:before="240"/>
      </w:pPr>
      <w:r>
        <w:rPr>
          <w:rFonts w:ascii="Calibri" w:cs="Calibri" w:eastAsia="Calibri" w:hAnsi="Calibri"/>
          <w:b/>
          <w:bCs/>
          <w:sz w:val="24"/>
          <w:szCs w:val="24"/>
        </w:rPr>
        <w:t xml:space="preserve">3.3. The temperature-gradient breakthrough</w:t>
      </w:r>
    </w:p>
    <w:p>
      <w:pPr>
        <w:spacing w:after="120" w:line="300"/>
        <w:jc w:val="both"/>
      </w:pPr>
      <w:r>
        <w:rPr>
          <w:rFonts w:ascii="Calibri" w:cs="Calibri" w:eastAsia="Calibri" w:hAnsi="Calibri"/>
          <w:sz w:val="22"/>
          <w:szCs w:val="22"/>
        </w:rPr>
        <w:t xml:space="preserve">District-heating networks require supply temperatures of 60–80 °C for residential primary supply, with 70 °C the typical operating temperature in well-managed Nordic 4GDH networks [4, 85, 86, 92]. Air-cooled data centres produce waste heat at 25–35 °C, below this threshold. Bridging the gap requires heat pumps with capital costs of approximately USD 0.5–2 million for a typical hyperscale facility, depending on heat-pump capacity and integration scope [44, 45, 93, 98]. Immersion cooling changes this fundamentally. Submerging hardware in dielectric fluid captures heat at 65–75 °C, directly within the district-heating range. No heat pump is required for the temperature-matching step (though heat pumps may still be installed for redundancy, demand-shaping, or supply-temperature elevation to the higher end of the network range). Power Mining containers produce heat at 65 °C [5]; Canaan systems produce water at 75 °C [6]; this is the article central materials-design insight: cooling-material selection determines not only thermal performance but downstream energy-system integration. Figure 2 shows the temperature gradient with the Carnot exergy fraction overlay (right axis), making the heat-quality consequence of the materials choice explicit.</w:t>
      </w:r>
    </w:p>
    <w:p>
      <w:pPr>
        <w:spacing w:after="80" w:before="120"/>
        <w:jc w:val="center"/>
      </w:pPr>
      <w:r>
        <w:drawing>
          <wp:inline distT="0" distB="0" distL="0" distR="0">
            <wp:extent cx="5143500" cy="3429000"/>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spacing w:after="80"/>
        <w:jc w:val="center"/>
      </w:pPr>
      <w:r>
        <w:rPr>
          <w:rFonts w:ascii="Calibri" w:cs="Calibri" w:eastAsia="Calibri" w:hAnsi="Calibri"/>
          <w:b/>
          <w:bCs/>
          <w:i/>
          <w:iCs/>
          <w:sz w:val="20"/>
          <w:szCs w:val="20"/>
        </w:rPr>
        <w:t xml:space="preserve">Figure 2. Temperature gradient comparison with Carnot exergy-fraction overlay.</w:t>
      </w:r>
    </w:p>
    <w:p>
      <w:pPr>
        <w:spacing w:after="240" w:before="80"/>
        <w:jc w:val="both"/>
      </w:pPr>
      <w:r>
        <w:rPr>
          <w:rFonts w:ascii="Calibri" w:cs="Calibri" w:eastAsia="Calibri" w:hAnsi="Calibri"/>
          <w:i/>
          <w:iCs/>
          <w:sz w:val="20"/>
          <w:szCs w:val="20"/>
        </w:rPr>
        <w:t xml:space="preserve">Bars: representative waste-heat output temperature ranges for air-cooled, cold-plate, immersion, and projected gallium loops. Green band: 60–80 °C district-heating supply requirement. Dashed purple curve and right axis: Carnot exergy fraction (1 − T₀/T) at T₀ = 283 K (Northern-European mean outdoor reference). Numerical labels at each generation midpoint show the exergy fraction of the rejected heat (approximately 7%, 14%, 17%, 21% for the four cases).</w:t>
      </w:r>
    </w:p>
    <w:p>
      <w:pPr>
        <w:spacing w:after="80"/>
        <w:jc w:val="center"/>
      </w:pPr>
      <w:r>
        <w:rPr>
          <w:rFonts w:ascii="Calibri" w:cs="Calibri" w:eastAsia="Calibri" w:hAnsi="Calibri"/>
          <w:b/>
          <w:bCs/>
          <w:i/>
          <w:iCs/>
          <w:sz w:val="20"/>
          <w:szCs w:val="20"/>
        </w:rPr>
        <w:t xml:space="preserve">Table 3. Exergy fraction (Carnot, T₀ = 283 K) of waste heat rejected by each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Architecture</w:t>
            </w:r>
          </w:p>
        </w:tc>
        <w:tc>
          <w:tcPr>
            <w:tcW w:type="dxa" w:w="2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Output temperature</w:t>
            </w:r>
          </w:p>
        </w:tc>
        <w:tc>
          <w:tcPr>
            <w:tcW w:type="dxa" w:w="2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Carnot exergy fraction</w:t>
            </w:r>
          </w:p>
        </w:tc>
        <w:tc>
          <w:tcPr>
            <w:tcW w:type="dxa" w:w="21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Gain over air-cooled baseline</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Air-cooled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25–35 °C (mid 30 °C)</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~7%</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Cold-plate (direct-to-chip)</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50–65 °C (mid 60 °C)</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Immersion (dielectric fluid)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65–75 °C (mid 70 °C)</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~17%</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~2.4×</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Gallium loop (projected)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80–95 °C (mid 90 °C)</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~21%</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~3.0×</w:t>
            </w:r>
          </w:p>
        </w:tc>
      </w:tr>
    </w:tbl>
    <w:p>
      <w:pPr>
        <w:pStyle w:val="Heading2"/>
        <w:spacing w:after="120" w:before="240"/>
      </w:pPr>
      <w:r>
        <w:rPr>
          <w:rFonts w:ascii="Calibri" w:cs="Calibri" w:eastAsia="Calibri" w:hAnsi="Calibri"/>
          <w:b/>
          <w:bCs/>
          <w:sz w:val="24"/>
          <w:szCs w:val="24"/>
        </w:rPr>
        <w:t xml:space="preserve">3.4. Water elimination</w:t>
      </w:r>
    </w:p>
    <w:p>
      <w:pPr>
        <w:spacing w:after="120" w:line="300"/>
        <w:jc w:val="both"/>
      </w:pPr>
      <w:r>
        <w:rPr>
          <w:rFonts w:ascii="Calibri" w:cs="Calibri" w:eastAsia="Calibri" w:hAnsi="Calibri"/>
          <w:sz w:val="22"/>
          <w:szCs w:val="22"/>
        </w:rPr>
        <w:t xml:space="preserve">Evaporative cooling — the dominant mechanism for heat rejection in air-cooled data centres operating in arid or temperate climates — consumes approximately 90–130 million gallons of freshwater annually for a medium 10 MW facility, with around 80 percent permanently lost through evaporation [7, 50, 51]. The lower bound of this range is supported by Lawrence Berkeley National Laboratory Data Center Energy Practitioner data series (2024 update) [50], and the upper bound by EESI (2023) [7]. For an equivalent 10 MW immersion-cooled or cold-plate facility, water consumption is zero on the cooling loop itself, since dielectric fluid or glycol-water circulates in a sealed closed loop with no evaporative loss [97]. The water footprint of electricity generation that powers the compute is a separate lifecycle consideration [51]; closed-loop liquid cooling represents a complete elimination of freshwater demand from the cooling system itself, but does not address upstream water consumption in thermoelectric power generation that the compute load drives. Each 100-word AI prompt processed by an evaporatively cooled data centre consumes approximately 519 mL of water (Li, Yang, Islam and Ren, "Making AI Less Thirsty", 2023) [8]; the order-of-magnitude implication is that the data-centre cooling-water footprint of AI inference at scale is in the same order as the freshwater consumption of small municipalities, a consideration that is now explicit in the regulatory frame of several US jurisdictions and in the Chinese MIIT Three-Year Action Plan and its successor programmes [63]. Figure 3 provides a comparative footprint visualisation for an equivalent 10 MW facility.</w:t>
      </w:r>
    </w:p>
    <w:p>
      <w:pPr>
        <w:spacing w:after="80" w:before="120"/>
        <w:jc w:val="center"/>
      </w:pPr>
      <w:r>
        <w:drawing>
          <wp:inline distT="0" distB="0" distL="0" distR="0">
            <wp:extent cx="4572000" cy="3419475"/>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19475"/>
                    </a:xfrm>
                    <a:prstGeom prst="rect">
                      <a:avLst/>
                    </a:prstGeom>
                  </pic:spPr>
                </pic:pic>
              </a:graphicData>
            </a:graphic>
          </wp:inline>
        </w:drawing>
      </w:r>
    </w:p>
    <w:p>
      <w:pPr>
        <w:spacing w:after="80"/>
        <w:jc w:val="center"/>
      </w:pPr>
      <w:r>
        <w:rPr>
          <w:rFonts w:ascii="Calibri" w:cs="Calibri" w:eastAsia="Calibri" w:hAnsi="Calibri"/>
          <w:b/>
          <w:bCs/>
          <w:i/>
          <w:iCs/>
          <w:sz w:val="20"/>
          <w:szCs w:val="20"/>
        </w:rPr>
        <w:t xml:space="preserve">Figure 3. Water-footprint comparison for equivalent 10 MW facilities.</w:t>
      </w:r>
    </w:p>
    <w:p>
      <w:pPr>
        <w:spacing w:after="240" w:before="80"/>
        <w:jc w:val="both"/>
      </w:pPr>
      <w:r>
        <w:rPr>
          <w:rFonts w:ascii="Calibri" w:cs="Calibri" w:eastAsia="Calibri" w:hAnsi="Calibri"/>
          <w:i/>
          <w:iCs/>
          <w:sz w:val="20"/>
          <w:szCs w:val="20"/>
        </w:rPr>
        <w:t xml:space="preserve">Evaporative cooling 90–130 million gallons/yr; closed-loop cooling zero on the cooling loop itself.</w:t>
      </w:r>
    </w:p>
    <w:p>
      <w:pPr>
        <w:pStyle w:val="Heading1"/>
        <w:spacing w:after="160" w:before="320"/>
      </w:pPr>
      <w:r>
        <w:rPr>
          <w:rFonts w:ascii="Calibri" w:cs="Calibri" w:eastAsia="Calibri" w:hAnsi="Calibri"/>
          <w:b/>
          <w:bCs/>
          <w:sz w:val="28"/>
          <w:szCs w:val="28"/>
        </w:rPr>
        <w:t xml:space="preserve">4. Engineering Validation: Operational Deployments</w:t>
      </w:r>
    </w:p>
    <w:p>
      <w:pPr>
        <w:pStyle w:val="Heading2"/>
        <w:spacing w:after="120" w:before="240"/>
      </w:pPr>
      <w:r>
        <w:rPr>
          <w:rFonts w:ascii="Calibri" w:cs="Calibri" w:eastAsia="Calibri" w:hAnsi="Calibri"/>
          <w:b/>
          <w:bCs/>
          <w:sz w:val="24"/>
          <w:szCs w:val="24"/>
        </w:rPr>
        <w:t xml:space="preserve">4.1. Documented heat-reuse systems</w:t>
      </w:r>
    </w:p>
    <w:p>
      <w:pPr>
        <w:spacing w:after="120" w:line="300"/>
        <w:jc w:val="both"/>
      </w:pPr>
      <w:r>
        <w:rPr>
          <w:rFonts w:ascii="Calibri" w:cs="Calibri" w:eastAsia="Calibri" w:hAnsi="Calibri"/>
          <w:sz w:val="22"/>
          <w:szCs w:val="22"/>
        </w:rPr>
        <w:t xml:space="preserve">Seventeen operational heat-reuse deployments are documented in this review (Tables 4a and 4b), distributed across nine countries and three continents. Yuan et al. [35] documented over twenty operational or planned data-centre heat-reuse installations in Europe alone, of which the present sample is the subset for which sufficient public technical disclosure (location, thermal output, output temperature, application, and where possible CO₂ verification) is available to support cross-comparison. The geographic and selection biases of the sample are made explicit in Section 1.1.4. The deployments are summarised in Tables 4a (fully characterised) and 4b (partially documented) and visualised in Figure 4. The two-tier classification is a deliberate response to disclosure asymmetry across operators and regions: European operators, subject to EU heat-recovery reporting under the Energy Efficiency Directive [13], publish technical disclosure with verifiable site identification, while Asian operators (most notably Alibaba and Tencent) operate at substantially larger scale but with technical disclosure that does not typically include per-site thermal output and output-temperature data [62, 127]. The Dublin AWS scheme [15] is currently the only deployment in the sample with independently verified emissions data: 704 tonnes of CO₂ abated in 2024, audited by Technological University Dublin. The Microsoft–Fortum partnership at Espoo and Kirkkonummi [52], announced as the world largest data-centre heat-recovery project, projects an aggregate 350 MW of thermal recovery capacity providing approximately 40 percent of regional district heat at full operation, with an expected gradual reduction of 400,000 tonnes of CO₂ per year. Heat-recovery plants began initial production during the 2025–2026 heating season; the projection is a vendor accounting estimate rather than an independently audited measurement, offered here as a parallel point estimate rather than as independent validation of the per-container lifecycle CO₂ model in Section 4.2.</w:t>
      </w:r>
    </w:p>
    <w:p>
      <w:pPr>
        <w:spacing w:after="80"/>
        <w:jc w:val="center"/>
      </w:pPr>
      <w:r>
        <w:rPr>
          <w:rFonts w:ascii="Calibri" w:cs="Calibri" w:eastAsia="Calibri" w:hAnsi="Calibri"/>
          <w:b/>
          <w:bCs/>
          <w:i/>
          <w:iCs/>
          <w:sz w:val="20"/>
          <w:szCs w:val="20"/>
        </w:rPr>
        <w:t xml:space="preserve">Table 4a. Fully characterised heat-reuse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300"/>
        <w:gridCol w:w="1100"/>
        <w:gridCol w:w="900"/>
        <w:gridCol w:w="1900"/>
        <w:gridCol w:w="2060"/>
        <w:gridCol w:w="600"/>
      </w:tblGrid>
      <w:tr>
        <w:trPr>
          <w:tblHeader/>
        </w:trPr>
        <w:tc>
          <w:tcPr>
            <w:tcW w:type="dxa" w:w="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Deployment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Location</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Thermal output</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Output temp.</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Application</w:t>
            </w:r>
          </w:p>
        </w:tc>
        <w:tc>
          <w:tcPr>
            <w:tcW w:type="dxa" w:w="20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CO₂ verified</w:t>
            </w:r>
          </w:p>
        </w:tc>
        <w:tc>
          <w:tcPr>
            <w:tcW w:type="dxa" w:w="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Refs</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Power Mining</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Scandinavia</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1.7 MW</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65 °C</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District heating (~2,000 homes)</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 (engineering projection)</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Canaan / Bitforest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Manitoba, Canada</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~0.5 MW</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75 °C</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Greenhouse heating</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 (engineering projection)</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MintGreen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Lonsdale, BC, Canada</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~0.3 MW</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~65 °C</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Commercial building (96% load)</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 (engineering projection)</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MARA Digital</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Finland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 MW</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~65 °C</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District heating</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 (engineering projection)</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[16]</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Microsoft + Fortum</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Espoo / Kirkkonummi, FI</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up to 350 MW</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DH-spec</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District heating (40% of region)</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Projected 400,000 tCO₂/yr</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[52]</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Yandex Mäntsälä</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Mäntsälä, Finland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 MW</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60–75 °C</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District heating (~1,000 homes)</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Reported 40% gas reduction</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[38]</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7</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Cloud&amp;Heat Eurotheum</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Frankfurt, Germany</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up to 600 kW</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60 °C</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Office, hotel, conference</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[39]</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Deep Green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Exmouth (and 19 others), UK</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~28 kW per site</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DH-spec</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Swimming-pool heating</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Yes (per-site measurement)</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[57]</w:t>
            </w:r>
          </w:p>
        </w:tc>
      </w:tr>
    </w:tbl>
    <w:p>
      <w:pPr>
        <w:spacing w:after="80"/>
        <w:jc w:val="center"/>
      </w:pPr>
      <w:r>
        <w:rPr>
          <w:rFonts w:ascii="Calibri" w:cs="Calibri" w:eastAsia="Calibri" w:hAnsi="Calibri"/>
          <w:b/>
          <w:bCs/>
          <w:i/>
          <w:iCs/>
          <w:sz w:val="20"/>
          <w:szCs w:val="20"/>
        </w:rPr>
        <w:t xml:space="preserve">Table 4b. Partially documented heat-reuse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200"/>
        <w:gridCol w:w="1200"/>
        <w:gridCol w:w="900"/>
        <w:gridCol w:w="2000"/>
        <w:gridCol w:w="1760"/>
        <w:gridCol w:w="600"/>
      </w:tblGrid>
      <w:tr>
        <w:trPr>
          <w:tblHeader/>
        </w:trPr>
        <w:tc>
          <w:tcPr>
            <w:tcW w:type="dxa" w:w="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Deployment</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Location</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Thermal output</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Output temp.</w:t>
            </w:r>
          </w:p>
        </w:tc>
        <w:tc>
          <w:tcPr>
            <w:tcW w:type="dxa" w:w="2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Application</w:t>
            </w:r>
          </w:p>
        </w:tc>
        <w:tc>
          <w:tcPr>
            <w:tcW w:type="dxa" w:w="17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CO₂ verified</w:t>
            </w:r>
          </w:p>
        </w:tc>
        <w:tc>
          <w:tcPr>
            <w:tcW w:type="dxa" w:w="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Refs</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AWS Dublin (Tallaght)</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Dublin, Ireland</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not disclosed</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not disclosed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University campus</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Yes (704 tCO₂, 2024)</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[15]</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DigiPlex / Stockholm Exergi</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Stockholm, Sweden</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not disclosed</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DH-spec</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District heating (~10,000 households)</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[53]</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Stockholm Data Parks</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Stockholm, Sweden</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~30 MW+</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DH-spec</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District heating (~30,000 apartments)</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~50 gCO₂/kWh reduction</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[54]</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Telehouse FRANKY</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Frankfurt, Germany</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 of waste heat</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DH-spec</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Residential (3,000 residents)</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Yes (~400 tCO₂/yr)</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[55]</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Qarnot Computing</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Bordeaux / Paris, France</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tens to hundreds kW per site</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up to 60 °C</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Residential / office heating</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[56]</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Lefdal Mine + Sjømatstaden</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Vestland, Norway</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not disclosed</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low-grade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Salmon hatchery</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[58]</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Sigma2 supercomputer</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Trondheim, Norway</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not disclosed</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low-grade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Local salmon farms</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[59]</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Tencent Tianjin</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Tianjin, China</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not disclosed</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DH-spec via heat pump</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Residential heating</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[60]</w:t>
            </w:r>
          </w:p>
        </w:tc>
      </w:tr>
      <w:tr>
        <w:trPr>
          <w:tblHeader w:val="false"/>
        </w:trP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Alibaba Cloud Hangzhou</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Hangzhou, China</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large liquid-cooled fleet</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not disclosed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Site-level cooling (PUE 1.09)</w:t>
            </w:r>
          </w:p>
        </w:tc>
        <w:tc>
          <w:tcPr>
            <w:tcW w:type="dxa" w:w="17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w:t>
            </w:r>
          </w:p>
        </w:tc>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[62]</w:t>
            </w:r>
          </w:p>
        </w:tc>
      </w:tr>
    </w:tbl>
    <w:p>
      <w:pPr>
        <w:spacing w:after="80" w:before="120"/>
        <w:jc w:val="center"/>
      </w:pPr>
      <w:r>
        <w:drawing>
          <wp:inline distT="0" distB="0" distL="0" distR="0">
            <wp:extent cx="4572000" cy="2847975"/>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47975"/>
                    </a:xfrm>
                    <a:prstGeom prst="rect">
                      <a:avLst/>
                    </a:prstGeom>
                  </pic:spPr>
                </pic:pic>
              </a:graphicData>
            </a:graphic>
          </wp:inline>
        </w:drawing>
      </w:r>
    </w:p>
    <w:p>
      <w:pPr>
        <w:spacing w:after="80"/>
        <w:jc w:val="center"/>
      </w:pPr>
      <w:r>
        <w:rPr>
          <w:rFonts w:ascii="Calibri" w:cs="Calibri" w:eastAsia="Calibri" w:hAnsi="Calibri"/>
          <w:b/>
          <w:bCs/>
          <w:i/>
          <w:iCs/>
          <w:sz w:val="20"/>
          <w:szCs w:val="20"/>
        </w:rPr>
        <w:t xml:space="preserve">Figure 4. Geographic distribution of seventeen documented heat-reuse deployments.</w:t>
      </w:r>
    </w:p>
    <w:p>
      <w:pPr>
        <w:spacing w:after="240" w:before="80"/>
        <w:jc w:val="both"/>
      </w:pPr>
      <w:r>
        <w:rPr>
          <w:rFonts w:ascii="Calibri" w:cs="Calibri" w:eastAsia="Calibri" w:hAnsi="Calibri"/>
          <w:i/>
          <w:iCs/>
          <w:sz w:val="20"/>
          <w:szCs w:val="20"/>
        </w:rPr>
        <w:t xml:space="preserve">Green: fully characterised (Table 4a). Grey: partially documented (Table 4b). 17 deployments across 9 countries on 3 continents.</w:t>
      </w:r>
    </w:p>
    <w:p>
      <w:pPr>
        <w:pStyle w:val="Heading2"/>
        <w:spacing w:after="120" w:before="240"/>
      </w:pPr>
      <w:r>
        <w:rPr>
          <w:rFonts w:ascii="Calibri" w:cs="Calibri" w:eastAsia="Calibri" w:hAnsi="Calibri"/>
          <w:b/>
          <w:bCs/>
          <w:sz w:val="24"/>
          <w:szCs w:val="24"/>
        </w:rPr>
        <w:t xml:space="preserve">4.2. Lifecycle CO₂ displacement model — immersion case</w:t>
      </w:r>
    </w:p>
    <w:p>
      <w:pPr>
        <w:spacing w:after="120" w:line="300"/>
        <w:jc w:val="both"/>
      </w:pPr>
      <w:r>
        <w:rPr>
          <w:rFonts w:ascii="Calibri" w:cs="Calibri" w:eastAsia="Calibri" w:hAnsi="Calibri"/>
          <w:sz w:val="22"/>
          <w:szCs w:val="22"/>
        </w:rPr>
        <w:t xml:space="preserve">The lifecycle CO₂ displacement model estimates annual CO₂ displacement for a single Power Mining container (1.7 MW thermal output, 65 °C output temperature, operating in a Nordic climate with an eight-month heating season). Thermal output of 1.7 MW continuous over approximately 5,840 annual heating-season hours yields 9,928 MWh of nominally deliverable thermal energy. In practice, thermal-utilisation rates of 70–85 percent are typical for well-integrated district-heating connections owing to demand fluctuation, planned maintenance downtime, and network constraints, reducing effective delivery to approximately 6,950–8,440 MWh. The full sensitivity matrix is computed in Section 4.2.1 and presented in Table 5; the breakeven grid intensity that determines whether the deployment is net-positive on CO₂ is derived in Section 4.2.2 and presented in Table 6; the parallel cold-plate AI case is presented in Section 4.2.3 and Table 7; the embodied emissions of the cooling fluid itself are accounted for in Section 4.2.4. The combined framework follows the principle that a complete sustainability accounting for compute waste-heat recovery must integrate the heat-displacement benefit, the grid-side cost of operating the compute load, the heat-pump electricity penalty where applicable, and the cradle-to-gate burden of the cooling-fluid charge.</w:t>
      </w:r>
    </w:p>
    <w:p>
      <w:pPr>
        <w:pStyle w:val="Heading3"/>
        <w:spacing w:after="100" w:before="200"/>
      </w:pPr>
      <w:r>
        <w:rPr>
          <w:rFonts w:ascii="Calibri" w:cs="Calibri" w:eastAsia="Calibri" w:hAnsi="Calibri"/>
          <w:b/>
          <w:bCs/>
          <w:i/>
          <w:iCs/>
          <w:sz w:val="22"/>
          <w:szCs w:val="22"/>
        </w:rPr>
        <w:t xml:space="preserve">4.2.1. Sensitivity matrix</w:t>
      </w:r>
    </w:p>
    <w:p>
      <w:pPr>
        <w:spacing w:after="120" w:line="300"/>
        <w:jc w:val="both"/>
      </w:pPr>
      <w:r>
        <w:rPr>
          <w:rFonts w:ascii="Calibri" w:cs="Calibri" w:eastAsia="Calibri" w:hAnsi="Calibri"/>
          <w:sz w:val="22"/>
          <w:szCs w:val="22"/>
        </w:rPr>
        <w:t xml:space="preserve">Three thermal-utilisation scenarios are evaluated, crossed with three displaced-fuel scenarios. The low utilisation case (50 percent, representing a poorly matched deployment with intermittent demand) yields effective delivery of 4,964 MWh per year. The base case (70–85 percent) yields 6,950–8,440 MWh per year. The ideal case (95 percent utilisation, representing optimal demand matching and infrastructure) yields 9,432 MWh per year. The three displaced-fuel scenarios bracket the plausible range for Northern-European district-heating networks: natural gas at 0.20 tCO₂ per MWh; heavy fuel oil at 0.27 tCO₂ per MWh; peat or coal at 0.38 tCO₂ per MWh. The peat scenario is particularly relevant to Finnish district-heating contexts, where peat has historically formed a substantial fraction of the fuel mix and is being phased out under both EU climate policy and Finnish national strategy [37, 105, 124]. The full sensitivity matrix is shown in Table 5.</w:t>
      </w:r>
    </w:p>
    <w:p>
      <w:pPr>
        <w:spacing w:after="80"/>
        <w:jc w:val="center"/>
      </w:pPr>
      <w:r>
        <w:rPr>
          <w:rFonts w:ascii="Calibri" w:cs="Calibri" w:eastAsia="Calibri" w:hAnsi="Calibri"/>
          <w:b/>
          <w:bCs/>
          <w:i/>
          <w:iCs/>
          <w:sz w:val="20"/>
          <w:szCs w:val="20"/>
        </w:rPr>
        <w:t xml:space="preserve">Table 5. Lifecycle CO₂ displacement sensitivity (1.7 MW immersion container, Nordic eight-month heating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600"/>
        <w:gridCol w:w="1600"/>
        <w:gridCol w:w="166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Scenario</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Utilisation</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Effective MWh</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Gas (0.20)</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Oil (0.27)</w:t>
            </w:r>
          </w:p>
        </w:tc>
        <w:tc>
          <w:tcPr>
            <w:tcW w:type="dxa" w:w="16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Peat (0.38)</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Low</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50%</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4,964</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993 tCO₂</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1,340 tCO₂</w:t>
            </w:r>
          </w:p>
        </w:tc>
        <w:tc>
          <w:tcPr>
            <w:tcW w:type="dxa" w:w="1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1,886 tCO₂</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Base low</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70%</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6,950</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1,390 tCO₂</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1,876 tCO₂</w:t>
            </w:r>
          </w:p>
        </w:tc>
        <w:tc>
          <w:tcPr>
            <w:tcW w:type="dxa" w:w="1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2,641 tCO₂</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Base high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85%</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8,439</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1,688 tCO₂</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2,279 tCO₂</w:t>
            </w:r>
          </w:p>
        </w:tc>
        <w:tc>
          <w:tcPr>
            <w:tcW w:type="dxa" w:w="1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3,207 tCO₂</w:t>
            </w:r>
          </w:p>
        </w:tc>
      </w:tr>
      <w:tr>
        <w:trPr>
          <w:tblHeader w:val="false"/>
        </w:trP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Ideal</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95%</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9,432</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1,886 tCO₂</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2,547 tCO₂</w:t>
            </w:r>
          </w:p>
        </w:tc>
        <w:tc>
          <w:tcPr>
            <w:tcW w:type="dxa" w:w="1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3,584 tCO₂</w:t>
            </w:r>
          </w:p>
        </w:tc>
      </w:tr>
    </w:tbl>
    <w:p>
      <w:pPr>
        <w:pStyle w:val="Heading3"/>
        <w:spacing w:after="100" w:before="200"/>
      </w:pPr>
      <w:r>
        <w:rPr>
          <w:rFonts w:ascii="Calibri" w:cs="Calibri" w:eastAsia="Calibri" w:hAnsi="Calibri"/>
          <w:b/>
          <w:bCs/>
          <w:i/>
          <w:iCs/>
          <w:sz w:val="22"/>
          <w:szCs w:val="22"/>
        </w:rPr>
        <w:t xml:space="preserve">4.2.2. Breakeven grid intensity</w:t>
      </w:r>
    </w:p>
    <w:p>
      <w:pPr>
        <w:spacing w:after="120" w:line="300"/>
        <w:jc w:val="both"/>
      </w:pPr>
      <w:r>
        <w:rPr>
          <w:rFonts w:ascii="Calibri" w:cs="Calibri" w:eastAsia="Calibri" w:hAnsi="Calibri"/>
          <w:sz w:val="22"/>
          <w:szCs w:val="22"/>
        </w:rPr>
        <w:t xml:space="preserve">Net climate benefit is the difference between displaced fossil heating emissions and grid-side emissions of mining or AI electricity. The 1.7 MW container draws electricity at 1.7 MW × 8,760 h = 14,892 MWh per year (full-year operation, since mining occurs year-round, not just during the heating season). Setting net displacement to zero gives the breakeven grid intensity below which the deployment is net-positive on CO₂. Table 6 provides the full breakeven matrix; the algebraic derivation is in Supplementary Material Section S3.</w:t>
      </w:r>
    </w:p>
    <w:p>
      <w:pPr>
        <w:spacing w:after="80"/>
        <w:jc w:val="center"/>
      </w:pPr>
      <w:r>
        <w:rPr>
          <w:rFonts w:ascii="Calibri" w:cs="Calibri" w:eastAsia="Calibri" w:hAnsi="Calibri"/>
          <w:b/>
          <w:bCs/>
          <w:i/>
          <w:iCs/>
          <w:sz w:val="20"/>
          <w:szCs w:val="20"/>
        </w:rPr>
        <w:t xml:space="preserve">Table 6. Breakeven grid intensity (tCO₂ per MWh) for net-zero CO₂.</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700"/>
        <w:gridCol w:w="175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Utilisation</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Effective MWh</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Gas (0.20)</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Oil (0.27)</w:t>
            </w:r>
          </w:p>
        </w:tc>
        <w:tc>
          <w:tcPr>
            <w:tcW w:type="dxa" w:w="175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Peat (0.38)</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4,964</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0.067</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0.090</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0.127</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70%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6,950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0.093</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0.126</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0.177</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85%</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8,439</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0.113</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0.153</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0.215</w:t>
            </w:r>
          </w:p>
        </w:tc>
      </w:tr>
      <w:tr>
        <w:trPr>
          <w:tblHeader w:val="false"/>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95%</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9,432</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0.127</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0.171</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0.241</w:t>
            </w:r>
          </w:p>
        </w:tc>
      </w:tr>
    </w:tbl>
    <w:p>
      <w:pPr>
        <w:spacing w:after="120" w:line="300"/>
        <w:jc w:val="both"/>
      </w:pPr>
      <w:r>
        <w:rPr>
          <w:rFonts w:ascii="Calibri" w:cs="Calibri" w:eastAsia="Calibri" w:hAnsi="Calibri"/>
          <w:sz w:val="22"/>
          <w:szCs w:val="22"/>
        </w:rPr>
        <w:t xml:space="preserve">Reference grid intensities (selected; sources: IEA Electricity Information 2024 [3, 119], European Environment Agency 2024, BNetzA Monitoringbericht 2024 [121], Umweltbundesamt 2024 [122], Energimyndigheten 2024 [123], Statistics Finland 2024 [124], US EPA eGRID 2023, IEA China Energy Outlook 2024): Sweden ~0.04 tCO₂/MWh; Finland ~0.05; France ~0.06; UK ~0.18; EU-27 average ~0.25; Cambridge global mining mix ~0.29; Germany ~0.36; United States average ~0.39; China ~0.55. Reading Table 6 against these intensities: a Nordic deployment displacing oil or peat at base-high utilisation (cell 0.153–0.215 tCO₂/MWh) is comfortably net-positive on CO₂; the same deployment in Germany (0.36 tCO₂/MWh) or the United States (0.39 tCO₂/MWh) is net-negative even in the most favourable peat-displacement and 95-percent-utilisation cell (0.241 tCO₂/MWh). The operative policy implication is that mining-as-heating works on CO₂ only in the Nordic and French grid contexts at present; in most of the world, the carbon penalty of grid electricity exceeds the displacement benefit of any plausible heating fuel mix. This conclusion is consistent with the parallel analyses by Tervo et al. [37] for the Nordic context and by Krause and Tolaymat [104] for the global Bitcoin-mining context, both of which identify the local electricity-grid intensity as the dominant variable in the lifecycle CO₂ outcome. Cold-plate AI deployments (Section 4.2.3) are subject to the same constraint, with an additional small heat-pump electricity penalty.</w:t>
      </w:r>
    </w:p>
    <w:p>
      <w:pPr>
        <w:pStyle w:val="Heading3"/>
        <w:spacing w:after="100" w:before="200"/>
      </w:pPr>
      <w:r>
        <w:rPr>
          <w:rFonts w:ascii="Calibri" w:cs="Calibri" w:eastAsia="Calibri" w:hAnsi="Calibri"/>
          <w:b/>
          <w:bCs/>
          <w:i/>
          <w:iCs/>
          <w:sz w:val="22"/>
          <w:szCs w:val="22"/>
        </w:rPr>
        <w:t xml:space="preserve">4.2.3. Parallel cold-plate AI case study</w:t>
      </w:r>
    </w:p>
    <w:p>
      <w:pPr>
        <w:spacing w:after="120" w:line="300"/>
        <w:jc w:val="both"/>
      </w:pPr>
      <w:r>
        <w:rPr>
          <w:rFonts w:ascii="Calibri" w:cs="Calibri" w:eastAsia="Calibri" w:hAnsi="Calibri"/>
          <w:sz w:val="22"/>
          <w:szCs w:val="22"/>
        </w:rPr>
        <w:t xml:space="preserve">For comparison with the immersion mining case, consider a 1.7 MW direct-to-chip cold-plate AI deployment in the same Nordic eight-month heating season. Cold-plate output is at 60 °C; a low-temperature-lift heat pump raises this to the 75 °C district-heating supply specification at COP approximately 5.5, a value consistent with the operating envelope of modern industrial water-source heat pumps performing low-lift duty [44, 45, 93, 98]. With source heat Q_source = 1.7 MW, heat-pump electrical input W_HP = Q_source/(COP − 1) = 0.378 MW, and useful heat at 75 °C = COP × W_HP = 2.078 MW. Over the heating season at 70–85 percent utilisation, this delivers 8,494–10,314 MWh of district-heating-grade heat, requiring 1,544–1,875 MWh of additional heat-pump electricity. The full assumption set, including the rationale for the COP, the heat-pump duty assumption, and the temperature-lift sensitivity, is in Supplementary Material Section S4.</w:t>
      </w:r>
    </w:p>
    <w:p>
      <w:pPr>
        <w:spacing w:after="80"/>
        <w:jc w:val="center"/>
      </w:pPr>
      <w:r>
        <w:rPr>
          <w:rFonts w:ascii="Calibri" w:cs="Calibri" w:eastAsia="Calibri" w:hAnsi="Calibri"/>
          <w:b/>
          <w:bCs/>
          <w:i/>
          <w:iCs/>
          <w:sz w:val="20"/>
          <w:szCs w:val="20"/>
        </w:rPr>
        <w:t xml:space="preserve">Table 7. Cold-plate AI parallel — net CO₂ (1.7 MW IT load, 60→75 °C heat pump COP=5.5, gas displacement 0.20 tCO₂/MWh).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1300"/>
        <w:gridCol w:w="1400"/>
        <w:gridCol w:w="1500"/>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Utilisation</w:t>
            </w:r>
          </w:p>
        </w:tc>
        <w:tc>
          <w:tcPr>
            <w:tcW w:type="dxa" w:w="1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Useful heat (MWh/yr)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HP elec (MWh/yr)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Net CO₂ FI (0.05)</w:t>
            </w:r>
          </w:p>
        </w:tc>
        <w:tc>
          <w:tcPr>
            <w:tcW w:type="dxa" w:w="1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Net CO₂ EU avg (0.25)</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Net CO₂ DE (0.36)</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50%</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6,067</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1,103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+414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−2,718</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−4,545</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70%</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8,494</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1,544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+877</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−2,488</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−4,218</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10,314</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1,875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+1,224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−2,316</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−3,973</w:t>
            </w:r>
          </w:p>
        </w:tc>
      </w:tr>
      <w:tr>
        <w:trPr>
          <w:tblHeader w:val="false"/>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95%</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11,528</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2,096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+1,456</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−2,200</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−3,810</w:t>
            </w:r>
          </w:p>
        </w:tc>
      </w:tr>
    </w:tbl>
    <w:p>
      <w:pPr>
        <w:spacing w:after="120" w:line="300"/>
        <w:jc w:val="both"/>
      </w:pPr>
      <w:r>
        <w:rPr>
          <w:rFonts w:ascii="Calibri" w:cs="Calibri" w:eastAsia="Calibri" w:hAnsi="Calibri"/>
          <w:sz w:val="22"/>
          <w:szCs w:val="22"/>
        </w:rPr>
        <w:t xml:space="preserve">The cold-plate parallel case study reproduces the immersion conclusion structurally while tightening it quantitatively: net climate benefit depends critically on local grid intensity. In Finland, a 1.7 MW direct-to-chip facility with heat-pump-coupled district-heating integration delivers approximately +900 to +1,500 tCO₂ per year of net displacement at base-to-ideal utilisation; the same deployment in Germany is net-negative by approximately 4,000 tCO₂ per year because the electricity to run both the AI workload and the heat pump exceeds the carbon value of the displaced gas heat. The materials-thermal argument and the grid-emissions argument both have to be in scope simultaneously for a defensible sustainability conclusion. The implication for the EnEfG implementation [41, 42] is that the 10/15/20 percent heat-reuse mandate is climate-justified only insofar as grid decarbonisation proceeds in parallel; the policy and the grid trajectory cannot be considered in isolation.</w:t>
      </w:r>
    </w:p>
    <w:p>
      <w:pPr>
        <w:pStyle w:val="Heading3"/>
        <w:spacing w:after="100" w:before="200"/>
      </w:pPr>
      <w:r>
        <w:rPr>
          <w:rFonts w:ascii="Calibri" w:cs="Calibri" w:eastAsia="Calibri" w:hAnsi="Calibri"/>
          <w:b/>
          <w:bCs/>
          <w:i/>
          <w:iCs/>
          <w:sz w:val="22"/>
          <w:szCs w:val="22"/>
        </w:rPr>
        <w:t xml:space="preserve">4.2.4. Embodied emissions of the cooling fluid</w:t>
      </w:r>
    </w:p>
    <w:p>
      <w:pPr>
        <w:spacing w:after="120" w:line="300"/>
        <w:jc w:val="both"/>
      </w:pPr>
      <w:r>
        <w:rPr>
          <w:rFonts w:ascii="Calibri" w:cs="Calibri" w:eastAsia="Calibri" w:hAnsi="Calibri"/>
          <w:sz w:val="22"/>
          <w:szCs w:val="22"/>
        </w:rPr>
        <w:t xml:space="preserve">A complete lifecycle accounting must also include the embodied CO₂ of the cooling fluid itself. Synthetic esters and engineered hydrocarbon dielectric fluids carry an embodied burden of approximately 2–4 kg CO₂ per kg fluid based on cradle-to-gate life-cycle inventories of analogous ester and hydrocarbon products [61]. A 1.7 MW container with a fluid charge of approximately 8,000–12,000 L (density 0.8–0.9 kg per L) carries a fluid mass of 6,400–10,800 kg, corresponding to embodied emissions of 13–43 tonnes CO₂. Replacement at 5–8 year intervals adds the same embodied burden each cycle. Both figures are small relative to the 1,400–3,200 tCO₂ per year displacement base case (in a low-carbon grid), recovered within the first 1–3 weeks of operation, but should be reported in any comprehensive lifecycle assessment. For two-phase fluorocarbon fluids, the embodied burden per kg is several times higher and global-warming-potential leak emissions can be substantial; HFO and HFE alternatives generally have lower per-kg embodied emissions but require recharge after leak events that are more frequent owing to the lower-viscosity working fluids. A full two-phase fluid lifecycle accounting is outside the scope of this review.</w:t>
      </w:r>
    </w:p>
    <w:p>
      <w:pPr>
        <w:pStyle w:val="Heading2"/>
        <w:spacing w:after="120" w:before="240"/>
      </w:pPr>
      <w:r>
        <w:rPr>
          <w:rFonts w:ascii="Calibri" w:cs="Calibri" w:eastAsia="Calibri" w:hAnsi="Calibri"/>
          <w:b/>
          <w:bCs/>
          <w:sz w:val="24"/>
          <w:szCs w:val="24"/>
        </w:rPr>
        <w:t xml:space="preserve">4.3. Scalability and geographic constraints</w:t>
      </w:r>
    </w:p>
    <w:p>
      <w:pPr>
        <w:spacing w:after="120" w:line="300"/>
        <w:jc w:val="both"/>
      </w:pPr>
      <w:r>
        <w:rPr>
          <w:rFonts w:ascii="Calibri" w:cs="Calibri" w:eastAsia="Calibri" w:hAnsi="Calibri"/>
          <w:sz w:val="22"/>
          <w:szCs w:val="22"/>
        </w:rPr>
        <w:t xml:space="preserve">Finland, Sweden, Denmark, and Norway deliver more than 50 percent of heating through district networks and have grid intensities (0.04–0.05 tCO₂/MWh for the Swedish and Finnish grids respectively) consistent with the Section 4.2.2 breakeven analysis [121, 123, 124]. Compute heat integration works in these regions because of cold climate (8–10 months annual demand), existing pipe infrastructure with the necessary thermal capacity, supportive municipal policy, low-carbon electricity supply, and the historically high cost of competing conventional energy sources [4]. Many Finnish district-heating systems already source heat from co-generation plants; in these systems, the marginal climate benefit of mining heat is reduced because the displaced source was already efficient [37]. The strongest case for compute waste-heat recovery on lifecycle CO₂ grounds exists where networks depend on standalone fossil boilers, which is why the Mäntsälä Yandex installation [38] reports outsized gas-utility CO₂ reductions (40 percent), and why the Finnish district-heating sector has been an early-adopter market for this class of integration.</w:t>
      </w:r>
    </w:p>
    <w:p>
      <w:pPr>
        <w:spacing w:after="120" w:line="300"/>
        <w:jc w:val="both"/>
      </w:pPr>
      <w:r>
        <w:rPr>
          <w:rFonts w:ascii="Calibri" w:cs="Calibri" w:eastAsia="Calibri" w:hAnsi="Calibri"/>
          <w:sz w:val="22"/>
          <w:szCs w:val="22"/>
        </w:rPr>
        <w:t xml:space="preserve">Germany EnEfG implementation creates a large near-term market: approximately 1,000 data centres above the 300 kW threshold are subject to the 10/15/20 percent heat-reuse trajectory beginning in 2026 [41, 42]. As the breakeven analysis (Section 4.2.2) shows, the Germany grid intensity (~0.36 tCO₂/MWh) places most plausible mining-as-heating cases on the wrong side of net-zero CO₂; the EnEfG climate logic relies on parallel grid decarbonisation continuing on schedule. The Frankfurt FRANKY case demonstrates that even a 2 percent utilisation of waste heat from a single colocation campus can supply more than 60 percent of a 3,000-resident neighbourhood heating demand [55]. District-heating networks are designed for 30-year lifespans. Mining hardware is obsolete in 3–5 years; data-centre hardware in 7–10 years. Municipalities evaluating mining-heated districts must plan for multiple hardware refresh cycles per infrastructure lifecycle [18]. Bitcoin mining provides rapid demand response on a scale that other large-scale compute workloads do not match; this is treated in detail in Supplementary Material Section S5.</w:t>
      </w:r>
    </w:p>
    <w:p>
      <w:pPr>
        <w:pStyle w:val="Heading2"/>
        <w:spacing w:after="120" w:before="240"/>
      </w:pPr>
      <w:r>
        <w:rPr>
          <w:rFonts w:ascii="Calibri" w:cs="Calibri" w:eastAsia="Calibri" w:hAnsi="Calibri"/>
          <w:b/>
          <w:bCs/>
          <w:sz w:val="24"/>
          <w:szCs w:val="24"/>
        </w:rPr>
        <w:t xml:space="preserve">4.4. Asian deployments and disclosure asymmetry</w:t>
      </w:r>
    </w:p>
    <w:p>
      <w:pPr>
        <w:spacing w:after="120" w:line="300"/>
        <w:jc w:val="both"/>
      </w:pPr>
      <w:r>
        <w:rPr>
          <w:rFonts w:ascii="Calibri" w:cs="Calibri" w:eastAsia="Calibri" w:hAnsi="Calibri"/>
          <w:sz w:val="22"/>
          <w:szCs w:val="22"/>
        </w:rPr>
        <w:t xml:space="preserve">China data-centre liquid-cooling market reached USD 2.37 billion in 2024 (67 percent year-over-year growth) [43, 127]. Alibaba single-phase immersion-cooling deployments at scale have been documented to reduce energy consumption by over 35 percent compared with traditional air-cooled data centres [62]. Tencent Tianjin facility uses a magnetic-suspension heat pump to recover waste heat for residential heating [60]. National policy under the MIIT Three-Year Action Plan for New Data Center Development (2021–2023) and successor programmes mandates a PUE under 1.3 for newly built large-scale data centres, with a national goal of 1.25 by 2025 [63, 127]. Chinese district heating, however, remains approximately 85 percent powered by coal and natural gas, with less than 4 percent currently sourced from data centres [64, 127]; the China grid intensity (~0.55 tCO₂/MWh) places these deployments well outside the Section 4.2.2 breakeven envelope under any plausible displaced-fuel assumption, until grid decarbonisation progresses. The PRC export controls on gallium and germanium effective 1 August 2023 [32] add a further layer of supply-chain complexity for any Chinese deployment that depends on imported gallium-based thermal materials, a consideration that does not apply to Chinese domestic gallium consumers given the export-control direction. Disclosure asymmetry between Chinese and European data-centre operators makes deployment-level case-by-case validation difficult for the present review. Trade-press reports indicate operational immersion-cooled installations at multiple Alibaba and Tencent sites, but technical disclosure typically does not include the per-site thermal-output and output-temperature data required to populate Tables 4a and 4b at the same level of detail as European deployments. Future reviews on this topic will benefit from improved disclosure norms in the Asian market.</w:t>
      </w:r>
    </w:p>
    <w:p>
      <w:pPr>
        <w:pStyle w:val="Heading1"/>
        <w:spacing w:after="160" w:before="320"/>
      </w:pPr>
      <w:r>
        <w:rPr>
          <w:rFonts w:ascii="Calibri" w:cs="Calibri" w:eastAsia="Calibri" w:hAnsi="Calibri"/>
          <w:b/>
          <w:bCs/>
          <w:sz w:val="28"/>
          <w:szCs w:val="28"/>
        </w:rPr>
        <w:t xml:space="preserve">5. Second-Generation Materials: Gallium-Based Liquid Metal Systems</w:t>
      </w:r>
    </w:p>
    <w:p>
      <w:pPr>
        <w:pStyle w:val="Heading2"/>
        <w:spacing w:after="120" w:before="240"/>
      </w:pPr>
      <w:r>
        <w:rPr>
          <w:rFonts w:ascii="Calibri" w:cs="Calibri" w:eastAsia="Calibri" w:hAnsi="Calibri"/>
          <w:b/>
          <w:bCs/>
          <w:sz w:val="24"/>
          <w:szCs w:val="24"/>
        </w:rPr>
        <w:t xml:space="preserve">5.1. Thermal performance</w:t>
      </w:r>
    </w:p>
    <w:p>
      <w:pPr>
        <w:spacing w:after="120" w:line="300"/>
        <w:jc w:val="both"/>
      </w:pPr>
      <w:r>
        <w:rPr>
          <w:rFonts w:ascii="Calibri" w:cs="Calibri" w:eastAsia="Calibri" w:hAnsi="Calibri"/>
          <w:sz w:val="22"/>
          <w:szCs w:val="22"/>
        </w:rPr>
        <w:t xml:space="preserve">Pure gallium exhibits a thermal conductivity of 33.7 W m⁻¹ K⁻¹ in the solid state and approximately 24 W m⁻¹ K⁻¹ as a liquid, with a latent heat of 80.3 kJ kg⁻¹ at a melting point of 29.8 °C [19, 26]. GaInSn eutectic alloys (Galinstan®, registered to Geratherm Medical AG: 68.5 percent Ga, 21.5 percent In, 10 percent Sn by mass) reported as thermal interface materials span 16–39 W m⁻¹ K⁻¹ depending on composition, bond-line thickness, surface roughness, contact pressure, and measurement protocol [20, 21]. Values toward the upper end of this range require optimised bond-line and pressure conditions and should not be taken as a generic material constant. Hodes et al. [88] established the foundational galinstan-based minichannel and minigap cooling performance envelope at IEEE TCPMT in 2014, and Daeneke et al. [100] published the most comprehensive review of liquid-metal fundamentals and applications in chemistry at Chem Soc Rev in 2018. Tang et al. [112] subsequently published the Annu Rev Mater Res 2021 treatment of gallium liquid metal across its many applications. The Liu group at the Chinese Academy of Sciences has been the dominant single-laboratory contributor to the gallium-cooling literature for more than fifteen years, with multiple papers in IJHMT, Applied Physics Letters, and Advanced Materials, consolidated in the 2024 Springer monograph [117]. Recent comprehensive reviews of gallium-based thermal management for high-power-density electronics — Duan et al. [20], Wang et al. [21] for AI accelerators, and Cao and Liu  for next-generation electronics — provide the current state of the art, with Lin et al.  specifically addressing hybrid PCM-and-gallium architectures. The Galinstan eutectic composition is a CALPHAD-assessable point on the Ga-In-Sn ternary phase diagram, and a substantial body of peer-reviewed assessment literature documents the experimental and computational thermodynamics of the relevant binary and ternary subsystems. The Ga-In binary was assessed in the foundational CALPHAD framework by Anderson and Ansara [137], with parameter sets compatible with the SGTE liquid-metal database. Subsequent calorimetric and phase-diagram work has extended the available assessments to Ga-In-Zn (Kulawik et al. [138]) and Ga-In-Sb (Gomidzelovic et al. [139]). The first reported experimental enthalpies of mixing for the Ga-In-Sn ternary and Ga-In-Sn-Zn quaternary eutectics were determined by Bustamante et al. [120] using a novel oxidative solution calorimetry technique in molten sodium molybdate at 800 Â°C, with results validated against FactSage CALPHAD calculations and against asymmetric geometric mixing models (Toop, Hillert, Ouyang, Chou); that work provides the experimental anchor on which a Galinstan-specific thermodynamic-database curation can build. Pressure-dependent structural changes in the liquid eutectic have been documented by Yu et al. [140], and the engineering-relevant solidification and melting phase-change behaviour of eutectic GaInSn for cooling-loop applications was characterised by Koh et al. [141]. The metallic-PCM thermal-management envelope into which gallium-based fluids fit is reviewed comprehensively by Shamberger and Bruno [142]. Computational thermodynamics frameworks [125, 126] (the open-source pycalphad and ESPEI tools in particular) operationalise this assessment literature for the prediction of eutectic temperatures, liquidus surfaces, and partial molar properties relevant to cooling-loop operating envelopes.</w:t>
      </w:r>
    </w:p>
    <w:p>
      <w:pPr>
        <w:spacing w:after="120" w:line="300"/>
        <w:jc w:val="both"/>
      </w:pPr>
      <w:r>
        <w:rPr>
          <w:rFonts w:ascii="Calibri" w:cs="Calibri" w:eastAsia="Calibri" w:hAnsi="Calibri"/>
          <w:sz w:val="22"/>
          <w:szCs w:val="22"/>
        </w:rPr>
        <w:t xml:space="preserve">It is essential to distinguish two applications of gallium-based materials with very different engineering requirements and readiness levels. Ga-based thermal interface materials (TIMs), applied at the die-to-heat-sink junction in milligram quantities, are commercially mature: Sony PlayStation 5 uses a Galinstan-based TIM in mass production, and Indium Corporation GalliTHERM product line targets HPC semiconductor applications (TRL 8–9). Ga-based cooling loops, circulating kilograms of liquid metal through metres of facility piping, are essentially undemonstrated at scale (TRL 3–4). Bridging this gap is the central scaling challenge for the second generation; it is the equivalent, in the materials-design space, of moving from a successful laboratory bench-scale chemistry to a commercial process plant. The challenges are not only in the materials chemistry (compatible containment alloys, leak detection at MHD-active fluid interfaces, supercooling mitigation under flow) but in the integrated systems engineering of pumps, seals, manifolds, instrumentation, and safety procedures appropriate to a working fluid that combines high thermal conductivity, high electrical conductivity, low vapour pressure, and a melting point in the comfortable-handling range. The TRL trajectory is summarised in Table 8.</w:t>
      </w:r>
    </w:p>
    <w:p>
      <w:pPr>
        <w:spacing w:after="80"/>
        <w:jc w:val="center"/>
      </w:pPr>
      <w:r>
        <w:rPr>
          <w:rFonts w:ascii="Calibri" w:cs="Calibri" w:eastAsia="Calibri" w:hAnsi="Calibri"/>
          <w:b/>
          <w:bCs/>
          <w:i/>
          <w:iCs/>
          <w:sz w:val="20"/>
          <w:szCs w:val="20"/>
        </w:rPr>
        <w:t xml:space="preserve">Table 8. Gallium-cooling TRL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2200"/>
        <w:gridCol w:w="12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Application</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Current TRL</w:t>
            </w:r>
          </w:p>
        </w:tc>
        <w:tc>
          <w:tcPr>
            <w:tcW w:type="dxa" w:w="2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Representative example</w:t>
            </w:r>
          </w:p>
        </w:tc>
        <w:tc>
          <w:tcPr>
            <w:tcW w:type="dxa" w:w="2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Key remaining barrier</w:t>
            </w:r>
          </w:p>
        </w:tc>
        <w:tc>
          <w:tcPr>
            <w:tcW w:type="dxa" w:w="12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before="40"/>
              <w:jc w:val="left"/>
            </w:pPr>
            <w:r>
              <w:rPr>
                <w:rFonts w:ascii="Calibri" w:cs="Calibri" w:eastAsia="Calibri" w:hAnsi="Calibri"/>
                <w:b/>
                <w:bCs/>
                <w:i w:val="false"/>
                <w:iCs w:val="false"/>
                <w:sz w:val="18"/>
                <w:szCs w:val="18"/>
              </w:rPr>
              <w:t xml:space="preserve">Est. TRL by 2030</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TIM at die-to-heatsink interface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8–9</w:t>
            </w:r>
          </w:p>
        </w:tc>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Sony PS5 (Galinstan); Indium GalliTHERM</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Cost reduction; long-term reliability under CTE cycling</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9 (mass production extends)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Lab-scale cooling loop (single-rack)</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5–6</w:t>
            </w:r>
          </w:p>
        </w:tc>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BIT rack prototypes (2023); Liu group [117]</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Containment redundancy; pump reliability</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6–7</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Pilot-scale cooling loop (multi-rack)</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3–4</w:t>
            </w:r>
          </w:p>
        </w:tc>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DARPA-funded prototypes</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Material compatibility; leak detection; supply chain</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5–6</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Facility-scale cooling loop (&gt;1 MW)</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2–3</w:t>
            </w:r>
          </w:p>
        </w:tc>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None demonstrated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All of the above plus economics</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before="40"/>
              <w:jc w:val="left"/>
            </w:pPr>
            <w:r>
              <w:rPr>
                <w:rFonts w:ascii="Calibri" w:cs="Calibri" w:eastAsia="Calibri" w:hAnsi="Calibri"/>
                <w:b w:val="false"/>
                <w:bCs w:val="false"/>
                <w:i w:val="false"/>
                <w:iCs w:val="false"/>
                <w:sz w:val="18"/>
                <w:szCs w:val="18"/>
              </w:rPr>
              <w:t xml:space="preserve">4–5</w:t>
            </w:r>
          </w:p>
        </w:tc>
      </w:tr>
    </w:tbl>
    <w:p>
      <w:pPr>
        <w:pStyle w:val="Heading2"/>
        <w:spacing w:after="120" w:before="240"/>
      </w:pPr>
      <w:r>
        <w:rPr>
          <w:rFonts w:ascii="Calibri" w:cs="Calibri" w:eastAsia="Calibri" w:hAnsi="Calibri"/>
          <w:b/>
          <w:bCs/>
          <w:sz w:val="24"/>
          <w:szCs w:val="24"/>
        </w:rPr>
        <w:t xml:space="preserve">5.2. Phase-change properties and figures of merit</w:t>
      </w:r>
    </w:p>
    <w:p>
      <w:pPr>
        <w:spacing w:after="120" w:line="300"/>
        <w:jc w:val="both"/>
      </w:pPr>
      <w:r>
        <w:rPr>
          <w:rFonts w:ascii="Calibri" w:cs="Calibri" w:eastAsia="Calibri" w:hAnsi="Calibri"/>
          <w:sz w:val="22"/>
          <w:szCs w:val="22"/>
        </w:rPr>
        <w:t xml:space="preserve">Boteler et al. [19] demonstrated that for a temperature rise of 20 °C, gallium absorbs seven times more energy per unit volume than copper and three times more than organic paraffin phase-change materials. The advantage stems from the combination of gallium high density (~6.1 g cm⁻³), moderate specific heat capacity (~0.37 J g⁻¹ K⁻¹), and the latent heat available at the 29.8 °C melting point (80.3 kJ kg⁻¹). Shao et al. [22] developed a figure-of-merit for PCM cooling capacity that combines latent heat, density, and thermal conductivity; metallic alloys achieve FOMs one to two orders of magnitude higher than organic PCMs (2,603 × 10³ W² s K⁻¹ m⁻⁴ for a Bi-based metallic alloy versus 22 × 10³ W² s K⁻¹ m⁻⁴ for paraffin wax). The foundational PCM literature — Sharma et al. [78], Cabeza et al. [82], Zalba et al. [73], Kenisarin and Mahkamov [75] — establishes the broader context within which metallic PCMs sit. The specific application of PCMs to electronics thermal management was developed in a series of foundational engineering studies: Tan and Tso [128] demonstrated PCM cooling for mobile electronic devices; Krishnan, Garimella, and Kang [129] introduced hybrid PCM heat sinks for transient thermal management of electronics; and Kandasamy, Wang, and Mujumdar [130] extended the framework to general transient cooling of electronics. Together with Boteler et al. [19], these papers constitute the engineering foundation on which the metallic-PCM second-generation work in Section 5.3 builds. the principal advantage of metallic PCMs relative to organic PCMs is the order-of-magnitude higher thermal conductivity, which determines the rate at which heat can be deposited into the storage medium at facility scale.</w:t>
      </w:r>
    </w:p>
    <w:p>
      <w:pPr>
        <w:pStyle w:val="Heading2"/>
        <w:spacing w:after="120" w:before="240"/>
      </w:pPr>
      <w:r>
        <w:rPr>
          <w:rFonts w:ascii="Calibri" w:cs="Calibri" w:eastAsia="Calibri" w:hAnsi="Calibri"/>
          <w:b/>
          <w:bCs/>
          <w:sz w:val="24"/>
          <w:szCs w:val="24"/>
        </w:rPr>
        <w:t xml:space="preserve">5.3. Experimental validation under pulsed thermal loads</w:t>
      </w:r>
    </w:p>
    <w:p>
      <w:pPr>
        <w:spacing w:after="120" w:line="300"/>
        <w:jc w:val="both"/>
      </w:pPr>
      <w:r>
        <w:rPr>
          <w:rFonts w:ascii="Calibri" w:cs="Calibri" w:eastAsia="Calibri" w:hAnsi="Calibri"/>
          <w:sz w:val="22"/>
          <w:szCs w:val="22"/>
        </w:rPr>
        <w:t xml:space="preserve">Gonzalez-Nino et al. [23] demonstrated that metallic PCMs reduced temperature rise by 60–68 percent under 19 ms pulsed thermal loads at heat fluxes up to 338 W cm⁻², compared with only 14–17 percent for the best organic PCM tested. At 160 W pulse power, the metallic PCM maintained temperature within 5 °C of its melting point while the dielectric baseline rose 119 °C. The context for these experimental results is important. The Gonzalez-Nino experiments tested 19 ms transient pulses, characteristic of switching transients in power electronics rather than steady-state computing thermal loads. Steady-state thermal loads at facility scale (continuous heat dissipation over hours) require additional analysis of melting-front propagation, density-driven convection in the molten phase, and supercooling-induced solidification anomalies (Section 6.4); the 60–68 percent reduction is therefore an upper bound on the steady-state benefit. Translation of pulsed-load performance to AI training workloads with multi-second to minute-scale thermal envelopes is an active research area .</w:t>
      </w:r>
    </w:p>
    <w:p>
      <w:pPr>
        <w:spacing w:after="120" w:line="300"/>
        <w:jc w:val="both"/>
      </w:pPr>
      <w:r>
        <w:rPr>
          <w:rFonts w:ascii="Calibri" w:cs="Calibri" w:eastAsia="Calibri" w:hAnsi="Calibri"/>
          <w:sz w:val="22"/>
          <w:szCs w:val="22"/>
        </w:rPr>
        <w:t xml:space="preserve">Ma and Liu [24] demonstrated thermal-conductivity enhancement ratios up to 2.3× with 20 percent CNT volume fraction in liquid gallium. This result, while promising, has not been reproduced at scale; CNT dispersion in liquid gallium faces sedimentation, agglomeration, and oxide-entrapment challenges at volumes beyond the laboratory. The liquid-metal TIM market reached USD 305.9 million in 2025, projected to USD 479.7 million by 2032 [25]. Boteler et al. time-scale-matched PCM systems, pairing metallic PCMs with organic PCMs to exploit the complementary strengths of high thermal conductivity (metallic) and high specific latent heat (organic), demonstrated 25–50 percent mass reduction relative to pure metallic systems [19]; that demonstration was performed on milligram quantities and has not been scaled to facility loops. Recent reviews — Wang et al. , Cao and Liu , Lin et al.  — document parallel research streams on liquid-metal nanofluids, liquid-metal–PCM hybrids, and liquid-metal-driven heat pipes, none of which has yet been deployed at facility scale but all of which contribute to the trajectory of TRL maturation summarised in Table 8.</w:t>
      </w:r>
    </w:p>
    <w:p>
      <w:pPr>
        <w:pStyle w:val="Heading1"/>
        <w:spacing w:after="160" w:before="320"/>
      </w:pPr>
      <w:r>
        <w:rPr>
          <w:rFonts w:ascii="Calibri" w:cs="Calibri" w:eastAsia="Calibri" w:hAnsi="Calibri"/>
          <w:b/>
          <w:bCs/>
          <w:sz w:val="28"/>
          <w:szCs w:val="28"/>
        </w:rPr>
        <w:t xml:space="preserve">6. Engineering Challenges for Gallium-Based Cooling Systems</w:t>
      </w:r>
    </w:p>
    <w:p>
      <w:pPr>
        <w:pStyle w:val="Heading2"/>
        <w:spacing w:after="120" w:before="240"/>
      </w:pPr>
      <w:r>
        <w:rPr>
          <w:rFonts w:ascii="Calibri" w:cs="Calibri" w:eastAsia="Calibri" w:hAnsi="Calibri"/>
          <w:b/>
          <w:bCs/>
          <w:sz w:val="24"/>
          <w:szCs w:val="24"/>
        </w:rPr>
        <w:t xml:space="preserve">6.1. Corrosion and material compatibility</w:t>
      </w:r>
    </w:p>
    <w:p>
      <w:pPr>
        <w:spacing w:after="120" w:line="300"/>
        <w:jc w:val="both"/>
      </w:pPr>
      <w:r>
        <w:rPr>
          <w:rFonts w:ascii="Calibri" w:cs="Calibri" w:eastAsia="Calibri" w:hAnsi="Calibri"/>
          <w:sz w:val="22"/>
          <w:szCs w:val="22"/>
        </w:rPr>
        <w:t xml:space="preserve">Gallium alloys aggressively attack aluminium via liquid-metal embrittlement, a grain-boundary infiltration mechanism that progresses essentially without an Arrhenius barrier at elevated temperatures. Deng and Liu [29] found that 6063 aluminium alloy suffered complete gallium infiltration within five hours at 120 °C, an essentially complete materials failure. T2 copper exhibited slow corrosion at approximately 30–60 µm per month at 60 °C; 1Cr18Ni9 stainless steel showed zero detectable gallium infiltration after 30 days at 60 °C [29]. These results establish the practical materials palette for facility-scale cooling loops: nickel-plated copper or 316L stainless steel throughout, with explicit prohibition of aluminium alloys including extruded heat-sink material, structural framing, and gasket-flange surfaces. The materials-compatibility constraint is the principal cost-driver for facility-scale gallium cooling relative to the dielectric-fluid baseline, because it forecloses the use of aluminium components that are routinely deployed in conventional liquid-cooling loops [88, 100, 112, 117].</w:t>
      </w:r>
    </w:p>
    <w:p>
      <w:pPr>
        <w:pStyle w:val="Heading2"/>
        <w:spacing w:after="120" w:before="240"/>
      </w:pPr>
      <w:r>
        <w:rPr>
          <w:rFonts w:ascii="Calibri" w:cs="Calibri" w:eastAsia="Calibri" w:hAnsi="Calibri"/>
          <w:b/>
          <w:bCs/>
          <w:sz w:val="24"/>
          <w:szCs w:val="24"/>
        </w:rPr>
        <w:t xml:space="preserve">6.2. Electrical conductivity and containment</w:t>
      </w:r>
    </w:p>
    <w:p>
      <w:pPr>
        <w:spacing w:after="120" w:line="300"/>
        <w:jc w:val="both"/>
      </w:pPr>
      <w:r>
        <w:rPr>
          <w:rFonts w:ascii="Calibri" w:cs="Calibri" w:eastAsia="Calibri" w:hAnsi="Calibri"/>
          <w:sz w:val="22"/>
          <w:szCs w:val="22"/>
        </w:rPr>
        <w:t xml:space="preserve">Liquid metals are electrically conductive (~3.5 × 10⁶ S m⁻¹), six orders of magnitude higher than dielectric fluids [88]. A dielectric-fluid leak is a maintenance event; a liquid-metal leak is a catastrophic short-circuit risk that can damage adjacent electrical infrastructure and create personnel-safety hazards. Gallium-based systems therefore require sealed, isolated cooling channels rather than the open-bath immersion architecture that defines the first generation. The structural constraint is that gallium loops cannot adopt the open-tank architecture of first-generation immersion cooling; they must instead resemble closed-loop cold-plate systems with much tighter leak-detection requirements (multi-modal sensing combining inductive flux detection, fluid-conductivity monitoring, and pressure-drop trend analysis). The integrated systems engineering of a facility-scale gallium cooling loop therefore has more in common with sodium-cooled nuclear-reactor secondary loops or lead-bismuth eutectic experimental coolant loops than with conventional data-centre water-cooling, despite the very different operating-temperature regime. Pump and seal technology for gallium service is itself an open research area; magnetohydrodynamic (MHD) pumps, which exploit the electrical conductivity of the liquid metal to provide pumping force without mechanical contact, are an active topic in the gallium-cooling literature [100, 112, 117].</w:t>
      </w:r>
    </w:p>
    <w:p>
      <w:pPr>
        <w:pStyle w:val="Heading2"/>
        <w:spacing w:after="120" w:before="240"/>
      </w:pPr>
      <w:r>
        <w:rPr>
          <w:rFonts w:ascii="Calibri" w:cs="Calibri" w:eastAsia="Calibri" w:hAnsi="Calibri"/>
          <w:b/>
          <w:bCs/>
          <w:sz w:val="24"/>
          <w:szCs w:val="24"/>
        </w:rPr>
        <w:t xml:space="preserve">6.3. Surface tension and wettability</w:t>
      </w:r>
    </w:p>
    <w:p>
      <w:pPr>
        <w:spacing w:after="120" w:line="300"/>
        <w:jc w:val="both"/>
      </w:pPr>
      <w:r>
        <w:rPr>
          <w:rFonts w:ascii="Calibri" w:cs="Calibri" w:eastAsia="Calibri" w:hAnsi="Calibri"/>
          <w:sz w:val="22"/>
          <w:szCs w:val="22"/>
        </w:rPr>
        <w:t xml:space="preserve">Gallium exhibits high surface tension (~709 mN m⁻¹ at 30 °C versus ~73 mN m⁻¹ for water at 20 °C), requiring oxide-layer engineering for uniform thermal contact at the chip-to-fluid interface [100, 112]. Native oxide formation on gallium and Galinstan is rapid (approximately 2 nm Ga₂O₃ within seconds of air exposure) and has paradoxical consequences for thermal management. On the one hand, the oxide layer improves wetting on metal substrates by reducing the effective interfacial energy, lowering the contact angle from approximately 130–140 degrees on bare metal to 100–120 degrees on oxidised metal. On the other hand, the oxide layer increases interfacial thermal resistance, partially offsetting the thermal-conductivity advantage of the liquid metal. The oxide-management problem is one of the principal design considerations distinguishing successful gallium TIM applications (which use oxide-control coatings on the contact surfaces) from naive open-bath immersion configurations.</w:t>
      </w:r>
    </w:p>
    <w:p>
      <w:pPr>
        <w:pStyle w:val="Heading2"/>
        <w:spacing w:after="120" w:before="240"/>
      </w:pPr>
      <w:r>
        <w:rPr>
          <w:rFonts w:ascii="Calibri" w:cs="Calibri" w:eastAsia="Calibri" w:hAnsi="Calibri"/>
          <w:b/>
          <w:bCs/>
          <w:sz w:val="24"/>
          <w:szCs w:val="24"/>
        </w:rPr>
        <w:t xml:space="preserve">6.4. Supercooling mitigation</w:t>
      </w:r>
    </w:p>
    <w:p>
      <w:pPr>
        <w:spacing w:after="120" w:line="300"/>
        <w:jc w:val="both"/>
      </w:pPr>
      <w:r>
        <w:rPr>
          <w:rFonts w:ascii="Calibri" w:cs="Calibri" w:eastAsia="Calibri" w:hAnsi="Calibri"/>
          <w:sz w:val="22"/>
          <w:szCs w:val="22"/>
        </w:rPr>
        <w:t xml:space="preserve">Bulk gallium can supercool tens of degrees below its 29.8 °C melting point in the absence of nucleation sites. The exact extent of undercooling depends strongly on purity, surface contact with potential nucleation sites, and the thermal-cycling history of the bulk volume. Controlled high-purity bulk experiments have reported persistent liquid behaviour to approximately −19 °C, with deeper undercooling reported under more controlled conditions; see Zhang et al. [30] and references therein for a recent treatment. Zhang et al. also demonstrated that 0.5 wt.% TeO₂ particles reduced supercooling by 44 percent, offering a practical route to more reliable phase-change response in facility-scale loops. Supercooling is a critical concern for facility-scale gallium cooling because uncontrolled solidification — for example, during a planned facility shutdown or a transient cold-start condition — could cause local blockages in narrow channels, with potentially catastrophic consequences for loop integrity. The supercooling-mitigation problem is therefore closely coupled to the start-up and shutdown procedures that govern operational practice and to the seasonal-storage architecture that determines how the loop behaves when compute load is reduced for extended periods.</w:t>
      </w:r>
    </w:p>
    <w:p>
      <w:pPr>
        <w:pStyle w:val="Heading2"/>
        <w:spacing w:after="120" w:before="240"/>
      </w:pPr>
      <w:r>
        <w:rPr>
          <w:rFonts w:ascii="Calibri" w:cs="Calibri" w:eastAsia="Calibri" w:hAnsi="Calibri"/>
          <w:b/>
          <w:bCs/>
          <w:sz w:val="24"/>
          <w:szCs w:val="24"/>
        </w:rPr>
        <w:t xml:space="preserve">6.5. Toxicity considerations</w:t>
      </w:r>
    </w:p>
    <w:p>
      <w:pPr>
        <w:spacing w:after="120" w:line="300"/>
        <w:jc w:val="both"/>
      </w:pPr>
      <w:r>
        <w:rPr>
          <w:rFonts w:ascii="Calibri" w:cs="Calibri" w:eastAsia="Calibri" w:hAnsi="Calibri"/>
          <w:sz w:val="22"/>
          <w:szCs w:val="22"/>
        </w:rPr>
        <w:t xml:space="preserve">Gallium itself exhibits low acute toxicity in animal models, with LD50 values in the gram-per-kilogram range that place it well below the threshold of acute occupational concern. However, Galinstan contains approximately 21.5 percent indium by mass, and indium compounds have documented pulmonary toxicity associated with occupational exposure, most notably the indium-lung-disease (pulmonary alveolar proteinosis) cluster documented in indium-tin-oxide production workers in Japan [66]. The American Conference of Governmental Industrial Hygienists Threshold Limit Value for indium and its compounds is 0.1 mg per cubic metre as an 8-hour time-weighted average [65]. ITO-specific guidance is materially tighter where in force: the Japanese Ministry of Health, Labour and Welfare technical guideline (2010) recommends an indium target airborne concentration of 0.0003 mg per cubic metre for ITO production environments. The factor-of-330 difference between the ACGIH general-indium TLV and the Japan ITO-specific target reflects the higher inhalation toxicity of poorly soluble indium-compound particles relative to gallium-alloy aerosols, but the broader principle is that operators planning facility-scale gallium-cooling deployments should design ventilation, monitoring, and personal-protective-equipment programmes to the most stringent applicable standard. At facility scale, handling protocols must address inhalation risks from aerosolised particles during alloy preparation, leak cleanup, decommissioning, and recycling, requiring local exhaust ventilation and respiratory protection per OSHA 1910.134 (or EU equivalent). These requirements add operating cost and worker-training overhead that are not present in dielectric-fluid systems.</w:t>
      </w:r>
    </w:p>
    <w:p>
      <w:pPr>
        <w:pStyle w:val="Heading2"/>
        <w:spacing w:after="120" w:before="240"/>
      </w:pPr>
      <w:r>
        <w:rPr>
          <w:rFonts w:ascii="Calibri" w:cs="Calibri" w:eastAsia="Calibri" w:hAnsi="Calibri"/>
          <w:b/>
          <w:bCs/>
          <w:sz w:val="24"/>
          <w:szCs w:val="24"/>
        </w:rPr>
        <w:t xml:space="preserve">6.6. Implications for heat-reuse systems</w:t>
      </w:r>
    </w:p>
    <w:p>
      <w:pPr>
        <w:spacing w:after="120" w:line="300"/>
        <w:jc w:val="both"/>
      </w:pPr>
      <w:r>
        <w:rPr>
          <w:rFonts w:ascii="Calibri" w:cs="Calibri" w:eastAsia="Calibri" w:hAnsi="Calibri"/>
          <w:sz w:val="22"/>
          <w:szCs w:val="22"/>
        </w:rPr>
        <w:t xml:space="preserve">A gallium cooling loop could capture waste heat at higher temperatures with lower thermal resistance than first-generation systems, potentially enabling output temperatures above 80 °C [88, 100, 112, 117]. If Ga-based systems can deliver output temperatures consistently above 80 °C, they may eliminate the need for heat-pump boosting that some immersion-cooled and cold-plate installations still require for full district-heating network compatibility, while remaining within the 60–95 °C window targeted by district-heating modernisation programmes [85, 86, 92]. The exergy gain over the immersion baseline, however, is modest — approximately 4 percentage points of Carnot exergy fraction at the 80–95 °C end of the gallium envelope relative to the 65–75 °C immersion envelope, as documented in Section 2 and Table 3. This is a projection, not yet demonstrated in district-heating applications. The capital-cost, materials-compatibility, and occupational-health investments required to deploy gallium loops at facility scale must be weighed against this incremental exergy gain on a case-by-case basis.</w:t>
      </w:r>
    </w:p>
    <w:p>
      <w:pPr>
        <w:pStyle w:val="Heading2"/>
        <w:spacing w:after="120" w:before="240"/>
      </w:pPr>
      <w:r>
        <w:rPr>
          <w:rFonts w:ascii="Calibri" w:cs="Calibri" w:eastAsia="Calibri" w:hAnsi="Calibri"/>
          <w:b/>
          <w:bCs/>
          <w:sz w:val="24"/>
          <w:szCs w:val="24"/>
        </w:rPr>
        <w:t xml:space="preserve">6.7. Regulatory exposure</w:t>
      </w:r>
    </w:p>
    <w:p>
      <w:pPr>
        <w:spacing w:after="120" w:line="300"/>
        <w:jc w:val="both"/>
      </w:pPr>
      <w:r>
        <w:rPr>
          <w:rFonts w:ascii="Calibri" w:cs="Calibri" w:eastAsia="Calibri" w:hAnsi="Calibri"/>
          <w:sz w:val="22"/>
          <w:szCs w:val="22"/>
        </w:rPr>
        <w:t xml:space="preserve">Three regulatory frameworks together govern facility-scale deployment economics for gallium cooling. The European Chemicals Agency REACH framework regulates indium aerosol exposure and is currently silent on gallium metal but tightening on PFAS (Section 3.1.1) [12]. The US Occupational Safety and Health Administration and the equivalent EU agencies regulate occupational exposure to indium and indium tin oxide; the ACGIH 0.1 mg per cubic metre TLV-TWA is the operative standard at the time of writing [65, 66]. The People Republic of China Ministry of Commerce imposed export controls on gallium and germanium effective 1 August 2023 [32], which raised gallium prices internationally and tightened supply for non-Chinese semiconductor and cooling-loop manufacturers. Together, these frameworks govern (i) where a facility-scale gallium loop can be sited, (ii) how it must be maintained, and (iii) where it can source its working fluid. Operators planning facility-scale gallium cooling must integrate compliance design across all three frameworks from project initiation; the cost of retrofitting compliance after deployment can exceed the cost of the cooling system itself.</w:t>
      </w:r>
    </w:p>
    <w:p>
      <w:pPr>
        <w:pStyle w:val="Heading1"/>
        <w:spacing w:after="160" w:before="320"/>
      </w:pPr>
      <w:r>
        <w:rPr>
          <w:rFonts w:ascii="Calibri" w:cs="Calibri" w:eastAsia="Calibri" w:hAnsi="Calibri"/>
          <w:b/>
          <w:bCs/>
          <w:sz w:val="28"/>
          <w:szCs w:val="28"/>
        </w:rPr>
        <w:t xml:space="preserve">7. Materials Supply and Circularity</w:t>
      </w:r>
    </w:p>
    <w:p>
      <w:pPr>
        <w:pStyle w:val="Heading2"/>
        <w:spacing w:after="120" w:before="240"/>
      </w:pPr>
      <w:r>
        <w:rPr>
          <w:rFonts w:ascii="Calibri" w:cs="Calibri" w:eastAsia="Calibri" w:hAnsi="Calibri"/>
          <w:b/>
          <w:bCs/>
          <w:sz w:val="24"/>
          <w:szCs w:val="24"/>
        </w:rPr>
        <w:t xml:space="preserve">7.1. Gallium supply chain</w:t>
      </w:r>
    </w:p>
    <w:p>
      <w:pPr>
        <w:spacing w:after="120" w:line="300"/>
        <w:jc w:val="both"/>
      </w:pPr>
      <w:r>
        <w:rPr>
          <w:rFonts w:ascii="Calibri" w:cs="Calibri" w:eastAsia="Calibri" w:hAnsi="Calibri"/>
          <w:sz w:val="22"/>
          <w:szCs w:val="22"/>
        </w:rPr>
        <w:t xml:space="preserve">Gallium is recovered as a by-product of aluminium and zinc refining [26]. Historically the dominant end use has been GaAs wafer fabrication for radio-frequency and optoelectronic semiconductor devices, but the USGS 2024 Mineral Commodity Summaries show GaN power electronics, RF integrated circuits, and emerging Ga₂O₃ applications now account for a growing share of demand alongside GaAs [27]. China accounts for approximately 80 percent of primary production and imposed export controls in July 2023 [27, 32]. A lifecycle analysis of global gallium flows (2000–2021) found that of 5,862 tonnes entering the industrial cycle, only 967 tonnes remain in active use, with 83.5 percent wasted and 4,446 tonnes in recoverable manufacturing or electronic waste [31]. Facility-scale cooling loops are circulatory systems in which gallium recirculates indefinitely; the operative supply-chain metric is make-up volume for leak and maintenance losses, not total fill volume, which substantially reduces ongoing demand relative to the semiconductor pathway where gallium is permanently embedded in wafers. The supply constraint is therefore manageable at current projected adoption rates but must be monitored given GaN power-electronics demand growth and continuing PRC export-control evolution.</w:t>
      </w:r>
    </w:p>
    <w:p>
      <w:pPr>
        <w:pStyle w:val="Heading2"/>
        <w:spacing w:after="120" w:before="240"/>
      </w:pPr>
      <w:r>
        <w:rPr>
          <w:rFonts w:ascii="Calibri" w:cs="Calibri" w:eastAsia="Calibri" w:hAnsi="Calibri"/>
          <w:b/>
          <w:bCs/>
          <w:sz w:val="24"/>
          <w:szCs w:val="24"/>
        </w:rPr>
        <w:t xml:space="preserve">7.2. Dielectric fluid lifecycle and recycling</w:t>
      </w:r>
    </w:p>
    <w:p>
      <w:pPr>
        <w:spacing w:after="120" w:line="300"/>
        <w:jc w:val="both"/>
      </w:pPr>
      <w:r>
        <w:rPr>
          <w:rFonts w:ascii="Calibri" w:cs="Calibri" w:eastAsia="Calibri" w:hAnsi="Calibri"/>
          <w:sz w:val="22"/>
          <w:szCs w:val="22"/>
        </w:rPr>
        <w:t xml:space="preserve">Synthetic esters and engineered hydrocarbons used as immersion fluids are recyclable through established lubricant-reprocessing channels, with reclaim yields of 70–85 percent typical for closed-loop industrial fluids. End-of-life fluid that has accumulated TAN above 0.5 mg KOH per gram is typically incinerated for energy recovery rather than reclaimed, contributing additional cradle-to-grave embodied emissions. Two-phase fluorocarbon fluids face a different end-of-life challenge: PFAS-classified compounds cannot be incinerated below 1,100 °C without releasing PFAS-class atmospheric pollutants, and dedicated PFAS-destruction infrastructure (typically supercritical water oxidation or plasma-arc systems) is limited [12, 47, 99, 108, 109]. The PFAS phase-out (Section 3.1.1) makes circularity questions for two-phase systems acute over the next five to seven years and is one of the principal drivers of the present industry transition away from PFAS-classified working fluids and toward HFO and HFE alternatives.</w:t>
      </w:r>
    </w:p>
    <w:p>
      <w:pPr>
        <w:pStyle w:val="Heading2"/>
        <w:spacing w:after="120" w:before="240"/>
      </w:pPr>
      <w:r>
        <w:rPr>
          <w:rFonts w:ascii="Calibri" w:cs="Calibri" w:eastAsia="Calibri" w:hAnsi="Calibri"/>
          <w:b/>
          <w:bCs/>
          <w:sz w:val="24"/>
          <w:szCs w:val="24"/>
        </w:rPr>
        <w:t xml:space="preserve">7.3. ASIC and GPU end-of-life</w:t>
      </w:r>
    </w:p>
    <w:p>
      <w:pPr>
        <w:spacing w:after="120" w:line="300"/>
        <w:jc w:val="both"/>
      </w:pPr>
      <w:r>
        <w:rPr>
          <w:rFonts w:ascii="Calibri" w:cs="Calibri" w:eastAsia="Calibri" w:hAnsi="Calibri"/>
          <w:sz w:val="22"/>
          <w:szCs w:val="22"/>
        </w:rPr>
        <w:t xml:space="preserve">ASIC mining hardware is obsolete in 3–5 years; AI GPUs in 5–8 years; general-purpose data-centre hardware in 7–10 years [18]. The neutral-source ASIC e-waste estimate of approximately 30,700 tonnes globally in 2020, growing roughly in line with hash-rate growth, is from de Vries and Stoll [67]. Recycling pathways exist for the printed circuit boards (gold, copper, palladium recovery), for the heat sinks and chassis (aluminium, copper), and for the cooling-system metals (copper piping, stainless-steel manifolds, nickel plating), but not for the silicon dies themselves, which are typically landfilled or downcycled to refractory aggregate. The cooling architecture itself does not change the e-waste profile of the compute hardware, but it does affect recycling logistics: immersion-fluid drainage and decontamination steps add labour per kilogram recovered relative to air-cooled recycling.</w:t>
      </w:r>
    </w:p>
    <w:p>
      <w:pPr>
        <w:pStyle w:val="Heading2"/>
        <w:spacing w:after="120" w:before="240"/>
      </w:pPr>
      <w:r>
        <w:rPr>
          <w:rFonts w:ascii="Calibri" w:cs="Calibri" w:eastAsia="Calibri" w:hAnsi="Calibri"/>
          <w:b/>
          <w:bCs/>
          <w:sz w:val="24"/>
          <w:szCs w:val="24"/>
        </w:rPr>
        <w:t xml:space="preserve">7.4. Circularity verdict</w:t>
      </w:r>
    </w:p>
    <w:p>
      <w:pPr>
        <w:spacing w:after="120" w:line="300"/>
        <w:jc w:val="both"/>
      </w:pPr>
      <w:r>
        <w:rPr>
          <w:rFonts w:ascii="Calibri" w:cs="Calibri" w:eastAsia="Calibri" w:hAnsi="Calibri"/>
          <w:sz w:val="22"/>
          <w:szCs w:val="22"/>
        </w:rPr>
        <w:t xml:space="preserve">Across all three generations, circularity for the cooling material itself ranges from good (single-phase dielectric fluids, recyclable through industrial channels; gallium loops, indefinitely recirculating) to challenging (two-phase fluorocarbon fluids, PFAS-restricted destruction). The dominant lifecycle burden remains the compute hardware, not the cooling material. RSER readers should weigh cooling-material circularity claims in this context.</w:t>
      </w:r>
    </w:p>
    <w:p>
      <w:pPr>
        <w:pStyle w:val="Heading1"/>
        <w:spacing w:after="160" w:before="320"/>
      </w:pPr>
      <w:r>
        <w:rPr>
          <w:rFonts w:ascii="Calibri" w:cs="Calibri" w:eastAsia="Calibri" w:hAnsi="Calibri"/>
          <w:b/>
          <w:bCs/>
          <w:sz w:val="28"/>
          <w:szCs w:val="28"/>
        </w:rPr>
        <w:t xml:space="preserve">8. Third-Generation Materials: Embedded Two-Phase Cooling</w:t>
      </w:r>
    </w:p>
    <w:p>
      <w:pPr>
        <w:pStyle w:val="Heading2"/>
        <w:spacing w:after="120" w:before="240"/>
      </w:pPr>
      <w:r>
        <w:rPr>
          <w:rFonts w:ascii="Calibri" w:cs="Calibri" w:eastAsia="Calibri" w:hAnsi="Calibri"/>
          <w:b/>
          <w:bCs/>
          <w:sz w:val="24"/>
          <w:szCs w:val="24"/>
        </w:rPr>
        <w:t xml:space="preserve">8.1. The ICECool programme and successors</w:t>
      </w:r>
    </w:p>
    <w:p>
      <w:pPr>
        <w:spacing w:after="120" w:line="300"/>
        <w:jc w:val="both"/>
      </w:pPr>
      <w:r>
        <w:rPr>
          <w:rFonts w:ascii="Calibri" w:cs="Calibri" w:eastAsia="Calibri" w:hAnsi="Calibri"/>
          <w:sz w:val="22"/>
          <w:szCs w:val="22"/>
        </w:rPr>
        <w:t xml:space="preserve">DARPA Intra-Chip / Inter-Tier Enhanced Cooling (ICECool) programme demonstrated chip-level heat-flux removal exceeding 1 kW cm⁻², with hot-spot cooling approaching 5 kW cm⁻² [28]. The ICECool fundamentals review by Bar-Cohen et al. [28] consolidated the more than ten years of research that produced these benchmarks, drawing on the microchannel-cooling tradition established by Tuckerman and Pease [68] in 1981, the high-heat-flux thermal-management framework articulated by Mudawar [70] in 2001, the on-chip two-phase cooling design assessments by Marcinichen et al. [84] in 2012, and the broader microchannel transport literature reviewed by Garimella and Sobhan [72] and Kandlikar [74], and the boiling-in-microchannels literature systematically reviewed by Thome [132]. IBM demonstrated microchannels in a production microprocessor achieving junction temperatures approximately 25 °C lower than the air-cooled baseline while reducing power consumption by more than 10 W [79]. The dielectric working fluid R1234ze(E) — an HFO with 100-year GWP of approximately 6 (IPCC AR5/AR6 reference) — can produce exit temperatures in the 60–80 °C range suitable for district heating [28].</w:t>
      </w:r>
    </w:p>
    <w:p>
      <w:pPr>
        <w:spacing w:after="120" w:line="300"/>
        <w:jc w:val="both"/>
      </w:pPr>
      <w:r>
        <w:rPr>
          <w:rFonts w:ascii="Calibri" w:cs="Calibri" w:eastAsia="Calibri" w:hAnsi="Calibri"/>
          <w:sz w:val="22"/>
          <w:szCs w:val="22"/>
        </w:rPr>
        <w:t xml:space="preserve">The Microsoft–Corintis collaboration, announced in September 2025, integrates microfluidic cooling channels directly within AI accelerator silicon and reports up to three times the heat-removal capability of conventional cold plates, targeting commercial deployment in next-generation AI training infrastructure [49]. This represents a significant TRL advance for embedded two-phase cooling, from DARPA-demonstration scale to commercial-product scale within the past two years. The trajectory from the ICECool fundamentals demonstration to the Microsoft–Corintis chip-scale integration spans approximately a decade of materials, manufacturing, and systems-engineering advances; the path from chip-scale integration to facility-scale embedded-two-phase cooling at AI-accelerator deployment scale is the central engineering question for the third generation.</w:t>
      </w:r>
    </w:p>
    <w:p>
      <w:pPr>
        <w:spacing w:after="120" w:line="300"/>
        <w:jc w:val="both"/>
      </w:pPr>
      <w:r>
        <w:rPr>
          <w:rFonts w:ascii="Calibri" w:cs="Calibri" w:eastAsia="Calibri" w:hAnsi="Calibri"/>
          <w:sz w:val="22"/>
          <w:szCs w:val="22"/>
        </w:rPr>
        <w:t xml:space="preserve">Manufacturing-scalability questions remain. Through-silicon-via (TSV) integration yields for microchannel-in-die designs are reportedly above 90 percent at 7 nm and 5 nm nodes for sub-millimetre die sizes, but published yield data at production AI-accelerator die sizes (around 800 mm² for current-generation GPUs) is limited. The yield-versus-die-size scaling is the principal cost-driver for embedded-two-phase production. Microchannel reliability under thermal cycling has been demonstrated above 1,000 cycles at temperature swings of 70 °C without measurable degradation in DARPA ICECool reports [28], but the 100,000-cycle service-life target for facility deployment has not been tested publicly. Refrigerant-loop reliability at facility scale (rather than at chip-package or rack scale) introduces additional challenges in fluid-distribution manifold design, in particular thermal-expansion management across long runs and pressure-drop balancing across heterogeneous workloads. The path from the Microsoft–Corintis chip-scale demonstration to integrated facility-scale embedded two-phase cooling is the central engineering question for the third generation.</w:t>
      </w:r>
    </w:p>
    <w:p>
      <w:pPr>
        <w:pStyle w:val="Heading2"/>
        <w:spacing w:after="120" w:before="240"/>
      </w:pPr>
      <w:r>
        <w:rPr>
          <w:rFonts w:ascii="Calibri" w:cs="Calibri" w:eastAsia="Calibri" w:hAnsi="Calibri"/>
          <w:b/>
          <w:bCs/>
          <w:sz w:val="24"/>
          <w:szCs w:val="24"/>
        </w:rPr>
        <w:t xml:space="preserve">8.2. Comparative materials in the design space</w:t>
      </w:r>
    </w:p>
    <w:p>
      <w:pPr>
        <w:spacing w:after="120" w:line="300"/>
        <w:jc w:val="both"/>
      </w:pPr>
      <w:r>
        <w:rPr>
          <w:rFonts w:ascii="Calibri" w:cs="Calibri" w:eastAsia="Calibri" w:hAnsi="Calibri"/>
          <w:sz w:val="22"/>
          <w:szCs w:val="22"/>
        </w:rPr>
        <w:t xml:space="preserve">Several materials sit alongside the three primary generations in the materials design space (Figure 5). CVD diamond achieves thermal conductivities of 1,000–2,000 W m⁻¹ K⁻¹ (electronic-grade material typically 1,700–2,000) [69, 76], making it the highest-conductivity bulk material currently producible at engineering scale. It manages hotspots at the transistor level via heat-spreader integration at the chip-to-package interface. CVD diamond and gallium liquid metals are complementary, not competitive: diamond addresses the chip-to-package interface; gallium addresses the package-to-loop and loop-to-facility transport. CVD-diamond integration into commercial GaN power electronics has reached TRL 7–8 with deployments documented in the SAFE-Diamond programme and Anaya et al. . The technology trajectory for diamond as a chip-spreader material continues to advance, with Sun et al.  reviewing the most recent progress in GaN-on-diamond electronics for power and RF applications.</w:t>
      </w:r>
    </w:p>
    <w:p>
      <w:pPr>
        <w:spacing w:after="120" w:line="300"/>
        <w:jc w:val="both"/>
      </w:pPr>
      <w:r>
        <w:rPr>
          <w:rFonts w:ascii="Calibri" w:cs="Calibri" w:eastAsia="Calibri" w:hAnsi="Calibri"/>
          <w:sz w:val="22"/>
          <w:szCs w:val="22"/>
        </w:rPr>
        <w:t xml:space="preserve">Hexagonal boron nitride (hBN) offers theoretical parity with diamond (theoretical thermal conductivity ~2,000 W m⁻¹ K⁻¹ in plane) plus electrical insulation, but practical composites achieve only 5–15 W m⁻¹ K⁻¹ owing to interface scattering and orientation distribution. The manufacturing gap for high-thermal-conductivity hBN composites is approximately a decade at current research rates. TRL 4–5 for chip-scale composites; TRL 2–3 for facility-scale heat-spreader applications.</w:t>
      </w:r>
    </w:p>
    <w:p>
      <w:pPr>
        <w:spacing w:after="120" w:line="300"/>
        <w:jc w:val="both"/>
      </w:pPr>
      <w:r>
        <w:rPr>
          <w:rFonts w:ascii="Calibri" w:cs="Calibri" w:eastAsia="Calibri" w:hAnsi="Calibri"/>
          <w:sz w:val="22"/>
          <w:szCs w:val="22"/>
        </w:rPr>
        <w:t xml:space="preserve">Graphene nanofluids achieve thermal conductivities of approximately 1–2 W m⁻¹ K⁻¹, a meaningful improvement over dielectric fluids but 15–30 times below gallium. Stability of graphene-based suspensions over the 5,000–10,000 hour service intervals required for facility-scale cooling loops has not been demonstrated. TRL 3–4 at the time of writing.</w:t>
      </w:r>
    </w:p>
    <w:p>
      <w:pPr>
        <w:spacing w:after="120" w:line="300"/>
        <w:jc w:val="both"/>
      </w:pPr>
      <w:r>
        <w:rPr>
          <w:rFonts w:ascii="Calibri" w:cs="Calibri" w:eastAsia="Calibri" w:hAnsi="Calibri"/>
          <w:sz w:val="22"/>
          <w:szCs w:val="22"/>
        </w:rPr>
        <w:t xml:space="preserve">Together with the three primary generations, these alternative materials trace the materials-design space mapped in Figure 5: thermal conductivity (W m⁻¹ K⁻¹) plotted against operating length scale (metres). Each material class occupies a distinct region; no single material spans the full thermal chain from transistor to district-heating grid.</w:t>
      </w:r>
    </w:p>
    <w:p>
      <w:pPr>
        <w:spacing w:after="80" w:before="120"/>
        <w:jc w:val="center"/>
      </w:pPr>
      <w:r>
        <w:drawing>
          <wp:inline distT="0" distB="0" distL="0" distR="0">
            <wp:extent cx="4572000" cy="3419475"/>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19475"/>
                    </a:xfrm>
                    <a:prstGeom prst="rect">
                      <a:avLst/>
                    </a:prstGeom>
                  </pic:spPr>
                </pic:pic>
              </a:graphicData>
            </a:graphic>
          </wp:inline>
        </w:drawing>
      </w:r>
    </w:p>
    <w:p>
      <w:pPr>
        <w:spacing w:after="80"/>
        <w:jc w:val="center"/>
      </w:pPr>
      <w:r>
        <w:rPr>
          <w:rFonts w:ascii="Calibri" w:cs="Calibri" w:eastAsia="Calibri" w:hAnsi="Calibri"/>
          <w:b/>
          <w:bCs/>
          <w:i/>
          <w:iCs/>
          <w:sz w:val="20"/>
          <w:szCs w:val="20"/>
        </w:rPr>
        <w:t xml:space="preserve">Figure 5. Materials design space for compute thermal management.</w:t>
      </w:r>
    </w:p>
    <w:p>
      <w:pPr>
        <w:spacing w:after="240" w:before="80"/>
        <w:jc w:val="both"/>
      </w:pPr>
      <w:r>
        <w:rPr>
          <w:rFonts w:ascii="Calibri" w:cs="Calibri" w:eastAsia="Calibri" w:hAnsi="Calibri"/>
          <w:i/>
          <w:iCs/>
          <w:sz w:val="20"/>
          <w:szCs w:val="20"/>
        </w:rPr>
        <w:t xml:space="preserve">Thermal conductivity (W m⁻¹ K⁻¹) plotted against operating length scale (metres). CVD diamond at the chip and transistor scale (1,700–2,000 W m⁻¹ K⁻¹); embedded two-phase ICECool systems at the chip-to-module scale; gallium-based liquid metals at the module-to-loop scale (16–39 W m⁻¹ K⁻¹); hBN composites at the chip-to-module scale (5–15 W m⁻¹ K⁻¹ practical); graphene nanofluids at the loop scale (1–2 W m⁻¹ K⁻¹); dielectric fluids at the facility scale (0.06–0.14 W m⁻¹ K⁻¹). No single material spans the full thermal chain from transistor to district-heating grid.</w:t>
      </w:r>
    </w:p>
    <w:p>
      <w:pPr>
        <w:pStyle w:val="Heading1"/>
        <w:spacing w:after="160" w:before="320"/>
      </w:pPr>
      <w:r>
        <w:rPr>
          <w:rFonts w:ascii="Calibri" w:cs="Calibri" w:eastAsia="Calibri" w:hAnsi="Calibri"/>
          <w:b/>
          <w:bCs/>
          <w:sz w:val="28"/>
          <w:szCs w:val="28"/>
        </w:rPr>
        <w:t xml:space="preserve">9. Conclusion</w:t>
      </w:r>
    </w:p>
    <w:p>
      <w:pPr>
        <w:spacing w:after="120" w:line="300"/>
        <w:jc w:val="both"/>
      </w:pPr>
      <w:r>
        <w:rPr>
          <w:rFonts w:ascii="Calibri" w:cs="Calibri" w:eastAsia="Calibri" w:hAnsi="Calibri"/>
          <w:sz w:val="22"/>
          <w:szCs w:val="22"/>
        </w:rPr>
        <w:t xml:space="preserve">Three regulatory and market shifts make the materials-design framing developed in this review consequential beyond the laboratory: the EU Energy Efficiency Directive 2023/1791 [13]; the German EnEfG 10/15/20 percent heat-reuse trajectory for 2026–2028 [41, 42]; and the IEA projection of total data-centre electricity demand, dominated by AI, approaching or exceeding 1,000 TWh by 2026 [3, 119]. Within these constraints, the cooling material is the design variable that determines whether compute waste heat becomes a usable energy product or a thermodynamic loss.</w:t>
      </w:r>
    </w:p>
    <w:p>
      <w:pPr>
        <w:spacing w:after="120" w:line="300"/>
        <w:jc w:val="both"/>
      </w:pPr>
      <w:r>
        <w:rPr>
          <w:rFonts w:ascii="Calibri" w:cs="Calibri" w:eastAsia="Calibri" w:hAnsi="Calibri"/>
          <w:sz w:val="22"/>
          <w:szCs w:val="22"/>
        </w:rPr>
        <w:t xml:space="preserve">First-generation materials raise waste-heat output from 25–35 °C in air-cooled facilities to 50–75 °C in liquid-cooled facilities. The Carnot exergy fraction roughly doubles, from approximately 7 percent to approximately 14–17 percent. Seventeen operational deployments across nine countries validate this generation, with verified emissions data available for AWS Dublin (704 tCO₂ abated, 2024), Telehouse Frankfurt FRANKY (~400 tCO₂ saved), and Yandex Mäntsälä (40 percent gas-utility CO₂ reduction), and a 400,000 tCO₂ per year projection for the Microsoft–Fortum partnership at Espoo. The lifecycle CO₂ analyses yield two complementary results: (i) the immersion mining case displaces approximately 1,400–3,200 tCO₂ per year per 1.7 MW container at base utilisation; (ii) the parallel cold-plate AI case displaces 900–1,500 tCO₂ per year per 1.7 MW facility at the same utilisation. Both are net-positive only on grids cleaner than approximately 0.13–0.24 tCO₂/MWh — Nordic and France at present, not Germany, the United States, or China [121–124].</w:t>
      </w:r>
    </w:p>
    <w:p>
      <w:pPr>
        <w:spacing w:after="120" w:line="300"/>
        <w:jc w:val="both"/>
      </w:pPr>
      <w:r>
        <w:rPr>
          <w:rFonts w:ascii="Calibri" w:cs="Calibri" w:eastAsia="Calibri" w:hAnsi="Calibri"/>
          <w:sz w:val="22"/>
          <w:szCs w:val="22"/>
        </w:rPr>
        <w:t xml:space="preserve">Second-generation gallium-based liquid metals (16–39 W m⁻¹ K⁻¹) offer roughly two orders of magnitude higher conductivity than dielectric fluids, with 60–68 percent temperature-rise reduction under pulsed loads. Mature TIM applications (TRL 8–9) must be clearly distinguished from undemonstrated facility-scale cooling loops (TRL 3–4). Engineering challenges in corrosion, electrical conductivity, indium occupational toxicity, and supply-chain concentration are tractable but require integrated compliance design [12, 32, 65, 66]. Third-generation embedded two-phase microfluidic cooling, demonstrated above 1 kW cm⁻² under DARPA ICECool [28] and scaled in the 2025 Microsoft–Corintis collaboration [49], addresses heat-flux densities immersion cannot reach.</w:t>
      </w:r>
    </w:p>
    <w:p>
      <w:pPr>
        <w:spacing w:after="120" w:line="300"/>
        <w:jc w:val="both"/>
      </w:pPr>
      <w:r>
        <w:rPr>
          <w:rFonts w:ascii="Calibri" w:cs="Calibri" w:eastAsia="Calibri" w:hAnsi="Calibri"/>
          <w:sz w:val="22"/>
          <w:szCs w:val="22"/>
        </w:rPr>
        <w:t xml:space="preserve">Four open research and policy questions will shape the next decade. (1) Can gallium-based facility-scale cooling loops be demonstrated at TRL 6–7 within a five-year horizon, or do the engineering challenges lock gallium into the TIM-and-prototype niche? (2) Can embedded two-phase microfluidic cooling reach manufacturing yields and reliability metrics that justify hyperscale integration beyond the Microsoft–Corintis pilot? (3) Can district-heating tariff structures evolve to compensate compute operators for delivered heat at scale, beyond the open-tariff model of Stockholm Exergi? (4) Can deployment-level CO₂ verification become a standard practice, so that vendor projections such as the Microsoft–Fortum 400,000 tCO₂/yr figure can be independently audited the way the AWS Dublin scheme has been, closing the gap between the green entries of Table 4a and the gray entries of Table 4b? Cooling-material selection is not merely a thermal-engineering decision but a sustainable energy-systems design decision, with downstream consequences for water consumption, carbon displacement, and district-heating compatibility, and whose net climate value is bounded by both Carnot exergy on the heat side and grid-emissions intensity on the electricity side.</w:t>
      </w:r>
    </w:p>
    <w:p>
      <w:pPr>
        <w:pStyle w:val="Heading1"/>
        <w:spacing w:after="160" w:before="320"/>
      </w:pPr>
      <w:r>
        <w:rPr>
          <w:rFonts w:ascii="Calibri" w:cs="Calibri" w:eastAsia="Calibri" w:hAnsi="Calibri"/>
          <w:b/>
          <w:bCs/>
          <w:sz w:val="28"/>
          <w:szCs w:val="28"/>
        </w:rPr>
        <w:t xml:space="preserve">Declaration of Competing Interest</w:t>
      </w:r>
    </w:p>
    <w:p>
      <w:pPr>
        <w:spacing w:after="120" w:line="300"/>
        <w:jc w:val="both"/>
      </w:pPr>
      <w:r>
        <w:rPr>
          <w:rFonts w:ascii="Calibri" w:cs="Calibri" w:eastAsia="Calibri" w:hAnsi="Calibri"/>
          <w:sz w:val="22"/>
          <w:szCs w:val="22"/>
        </w:rPr>
        <w:t xml:space="preserve">The author declares no known competing financial interests or personal relationships that could have appeared to influence the work reported in this paper. The author holds no material positions in Bitcoin, mining companies, or energy firms discussed herein.</w:t>
      </w:r>
    </w:p>
    <w:p>
      <w:pPr>
        <w:pStyle w:val="Heading1"/>
        <w:spacing w:after="160" w:before="320"/>
      </w:pPr>
      <w:r>
        <w:rPr>
          <w:rFonts w:ascii="Calibri" w:cs="Calibri" w:eastAsia="Calibri" w:hAnsi="Calibri"/>
          <w:b/>
          <w:bCs/>
          <w:sz w:val="28"/>
          <w:szCs w:val="28"/>
        </w:rPr>
        <w:t xml:space="preserve">Data Sources</w:t>
      </w:r>
    </w:p>
    <w:p>
      <w:pPr>
        <w:spacing w:after="120" w:line="300"/>
        <w:jc w:val="both"/>
      </w:pPr>
      <w:r>
        <w:rPr>
          <w:rFonts w:ascii="Calibri" w:cs="Calibri" w:eastAsia="Calibri" w:hAnsi="Calibri"/>
          <w:sz w:val="22"/>
          <w:szCs w:val="22"/>
        </w:rPr>
        <w:t xml:space="preserve">Publicly available technical disclosures from the Cambridge Centre for Alternative Finance, Power Mining, MARA Holdings, Canaan, MintGreen, Yandex (Mäntsälä), DigiPlex, Stockholm Exergi, Telehouse Germany, Cloud&amp;Heat, Qarnot Computing, Deep Green, Lefdal Mine Datacenter, Sigma2, Microsoft (Espoo/Kirkkonummi), Fortum, Tencent (Tianjin), Alibaba Cloud (Hangzhou), and the Tallaght District Heating Scheme operators were consulted. No author funding, sponsorship, or contractual relationship with any listed operator informed this work.</w:t>
      </w:r>
    </w:p>
    <w:p>
      <w:pPr>
        <w:pStyle w:val="Heading1"/>
        <w:spacing w:after="160" w:before="320"/>
      </w:pPr>
      <w:r>
        <w:rPr>
          <w:rFonts w:ascii="Calibri" w:cs="Calibri" w:eastAsia="Calibri" w:hAnsi="Calibri"/>
          <w:b/>
          <w:bCs/>
          <w:sz w:val="28"/>
          <w:szCs w:val="28"/>
        </w:rPr>
        <w:t xml:space="preserve">Use of AI-Assisted Tools</w:t>
      </w:r>
    </w:p>
    <w:p>
      <w:pPr>
        <w:spacing w:after="120" w:line="300"/>
        <w:jc w:val="both"/>
      </w:pPr>
      <w:r>
        <w:rPr>
          <w:rFonts w:ascii="Calibri" w:cs="Calibri" w:eastAsia="Calibri" w:hAnsi="Calibri"/>
          <w:sz w:val="22"/>
          <w:szCs w:val="22"/>
        </w:rPr>
        <w:t xml:space="preserve">The author used Anthropic Claude (Opus and Sonnet variants) for editorial revision, structural reorganisation, figure-production scripting (matplotlib for the Carnot overlay in Figure 2 and the PRISMA diagram in Figure S1), and manuscript formatting. All factual claims, numerical values, citations, the three-generation taxonomy, the lifecycle CO₂ / breakeven / cold-plate models, the Carnot exergy analysis, and the analytical conclusions are the author work. No AI tool generated factual claims, citations, or numerical values that were not subsequently verified by the author against primary sources. Disclosure language follows RSER 2025 guidance.</w:t>
      </w:r>
    </w:p>
    <w:p>
      <w:pPr>
        <w:pStyle w:val="Heading1"/>
        <w:spacing w:after="160" w:before="320"/>
      </w:pPr>
      <w:r>
        <w:rPr>
          <w:rFonts w:ascii="Calibri" w:cs="Calibri" w:eastAsia="Calibri" w:hAnsi="Calibri"/>
          <w:b/>
          <w:bCs/>
          <w:sz w:val="28"/>
          <w:szCs w:val="28"/>
        </w:rPr>
        <w:t xml:space="preserve">References</w:t>
      </w:r>
    </w:p>
    <w:p>
      <w:pPr>
        <w:spacing w:after="80"/>
        <w:ind w:left="360" w:hanging="360"/>
        <w:jc w:val="both"/>
      </w:pPr>
      <w:r>
        <w:rPr>
          <w:rFonts w:ascii="Calibri" w:cs="Calibri" w:eastAsia="Calibri" w:hAnsi="Calibri"/>
          <w:sz w:val="20"/>
          <w:szCs w:val="20"/>
        </w:rPr>
        <w:t xml:space="preserve">[1] Cambridge Centre for Alternative Finance. Cambridge Digital Mining Industry Report. Cambridge: Cambridge Judge Business School; April 2025.</w:t>
      </w:r>
    </w:p>
    <w:p>
      <w:pPr>
        <w:spacing w:after="80"/>
        <w:ind w:left="360" w:hanging="360"/>
        <w:jc w:val="both"/>
      </w:pPr>
      <w:r>
        <w:rPr>
          <w:rFonts w:ascii="Calibri" w:cs="Calibri" w:eastAsia="Calibri" w:hAnsi="Calibri"/>
          <w:sz w:val="20"/>
          <w:szCs w:val="20"/>
        </w:rPr>
        <w:t xml:space="preserve">[2] Cambridge Centre for Alternative Finance. Cambridge Blockchain Network Sustainability Index (CBNSI). Cambridge: Cambridge Judge Business School; September 2025.</w:t>
      </w:r>
    </w:p>
    <w:p>
      <w:pPr>
        <w:spacing w:after="80"/>
        <w:ind w:left="360" w:hanging="360"/>
        <w:jc w:val="both"/>
      </w:pPr>
      <w:r>
        <w:rPr>
          <w:rFonts w:ascii="Calibri" w:cs="Calibri" w:eastAsia="Calibri" w:hAnsi="Calibri"/>
          <w:sz w:val="20"/>
          <w:szCs w:val="20"/>
        </w:rPr>
        <w:t xml:space="preserve">[3] International Energy Agency. Electricity 2024: analysis and forecast to 2026. Paris: IEA; 2024.</w:t>
      </w:r>
    </w:p>
    <w:p>
      <w:pPr>
        <w:spacing w:after="80"/>
        <w:ind w:left="360" w:hanging="360"/>
        <w:jc w:val="both"/>
      </w:pPr>
      <w:r>
        <w:rPr>
          <w:rFonts w:ascii="Calibri" w:cs="Calibri" w:eastAsia="Calibri" w:hAnsi="Calibri"/>
          <w:sz w:val="20"/>
          <w:szCs w:val="20"/>
        </w:rPr>
        <w:t xml:space="preserve">[4] Euroheat &amp; Power. District heating in the Nordic countries. Brussels: Euroheat &amp; Power; 2024.</w:t>
      </w:r>
    </w:p>
    <w:p>
      <w:pPr>
        <w:spacing w:after="80"/>
        <w:ind w:left="360" w:hanging="360"/>
        <w:jc w:val="both"/>
      </w:pPr>
      <w:r>
        <w:rPr>
          <w:rFonts w:ascii="Calibri" w:cs="Calibri" w:eastAsia="Calibri" w:hAnsi="Calibri"/>
          <w:sz w:val="20"/>
          <w:szCs w:val="20"/>
        </w:rPr>
        <w:t xml:space="preserve">[5] DataCenterDynamics. Power Mining Bitcoin-heated shipping containers (Scandinavia deployment, 1.7 MW). DCD; February 2026.</w:t>
      </w:r>
    </w:p>
    <w:p>
      <w:pPr>
        <w:spacing w:after="80"/>
        <w:ind w:left="360" w:hanging="360"/>
        <w:jc w:val="both"/>
      </w:pPr>
      <w:r>
        <w:rPr>
          <w:rFonts w:ascii="Calibri" w:cs="Calibri" w:eastAsia="Calibri" w:hAnsi="Calibri"/>
          <w:sz w:val="20"/>
          <w:szCs w:val="20"/>
        </w:rPr>
        <w:t xml:space="preserve">[6] The Block. Canaan liquid-cooled mining system heats Manitoba greenhouse. January 2026.</w:t>
      </w:r>
    </w:p>
    <w:p>
      <w:pPr>
        <w:spacing w:after="80"/>
        <w:ind w:left="360" w:hanging="360"/>
        <w:jc w:val="both"/>
      </w:pPr>
      <w:r>
        <w:rPr>
          <w:rFonts w:ascii="Calibri" w:cs="Calibri" w:eastAsia="Calibri" w:hAnsi="Calibri"/>
          <w:sz w:val="20"/>
          <w:szCs w:val="20"/>
        </w:rPr>
        <w:t xml:space="preserve">[7] Environmental and Energy Study Institute (EESI). Data centers and water consumption. Washington DC: EESI; 2023.</w:t>
      </w:r>
    </w:p>
    <w:p>
      <w:pPr>
        <w:spacing w:after="80"/>
        <w:ind w:left="360" w:hanging="360"/>
        <w:jc w:val="both"/>
      </w:pPr>
      <w:r>
        <w:rPr>
          <w:rFonts w:ascii="Calibri" w:cs="Calibri" w:eastAsia="Calibri" w:hAnsi="Calibri"/>
          <w:sz w:val="20"/>
          <w:szCs w:val="20"/>
        </w:rPr>
        <w:t xml:space="preserve">[8] Li P, Yang J, Islam MA, Ren S. Making AI less "thirsty": uncovering and addressing the secret water footprint of AI models. arXiv preprint arXiv:2304.03271; 2023.</w:t>
      </w:r>
    </w:p>
    <w:p>
      <w:pPr>
        <w:spacing w:after="80"/>
        <w:ind w:left="360" w:hanging="360"/>
        <w:jc w:val="both"/>
      </w:pPr>
      <w:r>
        <w:rPr>
          <w:rFonts w:ascii="Calibri" w:cs="Calibri" w:eastAsia="Calibri" w:hAnsi="Calibri"/>
          <w:sz w:val="20"/>
          <w:szCs w:val="20"/>
        </w:rPr>
        <w:t xml:space="preserve">[9] 3M. Novec engineered fluids for immersion cooling. Saint Paul, MN: 3M; 2024.</w:t>
      </w:r>
    </w:p>
    <w:p>
      <w:pPr>
        <w:spacing w:after="80"/>
        <w:ind w:left="360" w:hanging="360"/>
        <w:jc w:val="both"/>
      </w:pPr>
      <w:r>
        <w:rPr>
          <w:rFonts w:ascii="Calibri" w:cs="Calibri" w:eastAsia="Calibri" w:hAnsi="Calibri"/>
          <w:sz w:val="20"/>
          <w:szCs w:val="20"/>
        </w:rPr>
        <w:t xml:space="preserve">[10] Shell. Immersion cooling fluid S5 X. London: Shell plc; 2025.</w:t>
      </w:r>
    </w:p>
    <w:p>
      <w:pPr>
        <w:spacing w:after="80"/>
        <w:ind w:left="360" w:hanging="360"/>
        <w:jc w:val="both"/>
      </w:pPr>
      <w:r>
        <w:rPr>
          <w:rFonts w:ascii="Calibri" w:cs="Calibri" w:eastAsia="Calibri" w:hAnsi="Calibri"/>
          <w:sz w:val="20"/>
          <w:szCs w:val="20"/>
        </w:rPr>
        <w:t xml:space="preserve">[11] Engineered Fluids. ElectroCool dielectric coolant: technical data. Tyler, TX: Engineered Fluids LLC; 2024.</w:t>
      </w:r>
    </w:p>
    <w:p>
      <w:pPr>
        <w:spacing w:after="80"/>
        <w:ind w:left="360" w:hanging="360"/>
        <w:jc w:val="both"/>
      </w:pPr>
      <w:r>
        <w:rPr>
          <w:rFonts w:ascii="Calibri" w:cs="Calibri" w:eastAsia="Calibri" w:hAnsi="Calibri"/>
          <w:sz w:val="20"/>
          <w:szCs w:val="20"/>
        </w:rPr>
        <w:t xml:space="preserve">[12] European Chemicals Agency (ECHA). PFAS restriction proposal. REACH Annex XV restriction report; February 2023.</w:t>
      </w:r>
    </w:p>
    <w:p>
      <w:pPr>
        <w:spacing w:after="80"/>
        <w:ind w:left="360" w:hanging="360"/>
        <w:jc w:val="both"/>
      </w:pPr>
      <w:r>
        <w:rPr>
          <w:rFonts w:ascii="Calibri" w:cs="Calibri" w:eastAsia="Calibri" w:hAnsi="Calibri"/>
          <w:sz w:val="20"/>
          <w:szCs w:val="20"/>
        </w:rPr>
        <w:t xml:space="preserve">[13] European Parliament and Council. Directive (EU) 2023/1791 of 13 September 2023 on energy efficiency (recast). OJ EU 2023;L231:1–111.</w:t>
      </w:r>
    </w:p>
    <w:p>
      <w:pPr>
        <w:spacing w:after="80"/>
        <w:ind w:left="360" w:hanging="360"/>
        <w:jc w:val="both"/>
      </w:pPr>
      <w:r>
        <w:rPr>
          <w:rFonts w:ascii="Calibri" w:cs="Calibri" w:eastAsia="Calibri" w:hAnsi="Calibri"/>
          <w:sz w:val="20"/>
          <w:szCs w:val="20"/>
        </w:rPr>
        <w:t xml:space="preserve">[14] MARA Holdings. MintGreen digital boiler heats Lonsdale Energy buildings. October 2025.</w:t>
      </w:r>
    </w:p>
    <w:p>
      <w:pPr>
        <w:spacing w:after="80"/>
        <w:ind w:left="360" w:hanging="360"/>
        <w:jc w:val="both"/>
      </w:pPr>
      <w:r>
        <w:rPr>
          <w:rFonts w:ascii="Calibri" w:cs="Calibri" w:eastAsia="Calibri" w:hAnsi="Calibri"/>
          <w:sz w:val="20"/>
          <w:szCs w:val="20"/>
        </w:rPr>
        <w:t xml:space="preserve">[15] Connolly C. AWS data center heats Dublin university campus. CNBC; January 2026.</w:t>
      </w:r>
    </w:p>
    <w:p>
      <w:pPr>
        <w:spacing w:after="80"/>
        <w:ind w:left="360" w:hanging="360"/>
        <w:jc w:val="both"/>
      </w:pPr>
      <w:r>
        <w:rPr>
          <w:rFonts w:ascii="Calibri" w:cs="Calibri" w:eastAsia="Calibri" w:hAnsi="Calibri"/>
          <w:sz w:val="20"/>
          <w:szCs w:val="20"/>
        </w:rPr>
        <w:t xml:space="preserve">[16] EnergiRaven, Viegand Maagøe. Data center waste heat potential: 3.5 million homes by 2035. Copenhagen: Viegand Maagøe; 2025.</w:t>
      </w:r>
    </w:p>
    <w:p>
      <w:pPr>
        <w:spacing w:after="80"/>
        <w:ind w:left="360" w:hanging="360"/>
        <w:jc w:val="both"/>
      </w:pPr>
      <w:r>
        <w:rPr>
          <w:rFonts w:ascii="Calibri" w:cs="Calibri" w:eastAsia="Calibri" w:hAnsi="Calibri"/>
          <w:sz w:val="20"/>
          <w:szCs w:val="20"/>
        </w:rPr>
        <w:t xml:space="preserve">[17] U.S. EPA. Standards of Performance for Crude Oil and Natural Gas Facilities (NSPS Subpart OOOO/OOOOa). 40 CFR 60.</w:t>
      </w:r>
    </w:p>
    <w:p>
      <w:pPr>
        <w:spacing w:after="80"/>
        <w:ind w:left="360" w:hanging="360"/>
        <w:jc w:val="both"/>
      </w:pPr>
      <w:r>
        <w:rPr>
          <w:rFonts w:ascii="Calibri" w:cs="Calibri" w:eastAsia="Calibri" w:hAnsi="Calibri"/>
          <w:sz w:val="20"/>
          <w:szCs w:val="20"/>
        </w:rPr>
        <w:t xml:space="preserve">[18] World Economic Forum. The USD 3.3 trillion question: data center hardware refresh and infrastructure lifecycle. Geneva: WEF; October 2025.</w:t>
      </w:r>
    </w:p>
    <w:p>
      <w:pPr>
        <w:spacing w:after="80"/>
        <w:ind w:left="360" w:hanging="360"/>
        <w:jc w:val="both"/>
      </w:pPr>
      <w:r>
        <w:rPr>
          <w:rFonts w:ascii="Calibri" w:cs="Calibri" w:eastAsia="Calibri" w:hAnsi="Calibri"/>
          <w:sz w:val="20"/>
          <w:szCs w:val="20"/>
        </w:rPr>
        <w:t xml:space="preserve">[19] Boteler L, deBock H, Joshi Y. Trade-offs of phase-change materials for transient thermal mitigation. Proc IEEE ITherm Conf; 2019.</w:t>
      </w:r>
    </w:p>
    <w:p>
      <w:pPr>
        <w:spacing w:after="80"/>
        <w:ind w:left="360" w:hanging="360"/>
        <w:jc w:val="both"/>
      </w:pPr>
      <w:r>
        <w:rPr>
          <w:rFonts w:ascii="Calibri" w:cs="Calibri" w:eastAsia="Calibri" w:hAnsi="Calibri"/>
          <w:sz w:val="20"/>
          <w:szCs w:val="20"/>
        </w:rPr>
        <w:t xml:space="preserve">[20] Duan Y, Zhang H, Wang L, et al. Optimization of Ga-based liquid-metal thermal interface materials for high-power electronics. Int J Heat Mass Transf 2024;222:125087.</w:t>
      </w:r>
    </w:p>
    <w:p>
      <w:pPr>
        <w:spacing w:after="80"/>
        <w:ind w:left="360" w:hanging="360"/>
        <w:jc w:val="both"/>
      </w:pPr>
      <w:r>
        <w:rPr>
          <w:rFonts w:ascii="Calibri" w:cs="Calibri" w:eastAsia="Calibri" w:hAnsi="Calibri"/>
          <w:sz w:val="20"/>
          <w:szCs w:val="20"/>
        </w:rPr>
        <w:t xml:space="preserve">[21] Wang Z, Liu Y, Zhang J, et al. Liquid-metal thermal interface materials for AI accelerators. IEEE Trans Compon Packag Manuf Technol 2024;14(8):1295–1308.</w:t>
      </w:r>
    </w:p>
    <w:p>
      <w:pPr>
        <w:spacing w:after="80"/>
        <w:ind w:left="360" w:hanging="360"/>
        <w:jc w:val="both"/>
      </w:pPr>
      <w:r>
        <w:rPr>
          <w:rFonts w:ascii="Calibri" w:cs="Calibri" w:eastAsia="Calibri" w:hAnsi="Calibri"/>
          <w:sz w:val="20"/>
          <w:szCs w:val="20"/>
        </w:rPr>
        <w:t xml:space="preserve">[22] Shao L, Raghavan A, Kim JH, et al. Figure of merit for phase-change materials. Int J Heat Mass Transf 2016;101:764–771.</w:t>
      </w:r>
    </w:p>
    <w:p>
      <w:pPr>
        <w:spacing w:after="80"/>
        <w:ind w:left="360" w:hanging="360"/>
        <w:jc w:val="both"/>
      </w:pPr>
      <w:r>
        <w:rPr>
          <w:rFonts w:ascii="Calibri" w:cs="Calibri" w:eastAsia="Calibri" w:hAnsi="Calibri"/>
          <w:sz w:val="20"/>
          <w:szCs w:val="20"/>
        </w:rPr>
        <w:t xml:space="preserve">[23] Gonzalez-Nino D, Boteler LM, Ibitayo D, et al. Experimental evaluation of metallic phase-change materials for thermal transient mitigation. Int J Heat Mass Transf 2018;116:512–519.</w:t>
      </w:r>
    </w:p>
    <w:p>
      <w:pPr>
        <w:spacing w:after="80"/>
        <w:ind w:left="360" w:hanging="360"/>
        <w:jc w:val="both"/>
      </w:pPr>
      <w:r>
        <w:rPr>
          <w:rFonts w:ascii="Calibri" w:cs="Calibri" w:eastAsia="Calibri" w:hAnsi="Calibri"/>
          <w:sz w:val="20"/>
          <w:szCs w:val="20"/>
        </w:rPr>
        <w:t xml:space="preserve">[24] Ma KQ, Liu J. Nano liquid-metal fluid as ultimate coolant. Phys Lett A 2007;361(3):252–256.</w:t>
      </w:r>
    </w:p>
    <w:p>
      <w:pPr>
        <w:spacing w:after="80"/>
        <w:ind w:left="360" w:hanging="360"/>
        <w:jc w:val="both"/>
      </w:pPr>
      <w:r>
        <w:rPr>
          <w:rFonts w:ascii="Calibri" w:cs="Calibri" w:eastAsia="Calibri" w:hAnsi="Calibri"/>
          <w:sz w:val="20"/>
          <w:szCs w:val="20"/>
        </w:rPr>
        <w:t xml:space="preserve">[25] 360iResearch. Liquid metal thermal interface material market report 2025–2032. New York: 360iResearch; 2025.</w:t>
      </w:r>
    </w:p>
    <w:p>
      <w:pPr>
        <w:spacing w:after="80"/>
        <w:ind w:left="360" w:hanging="360"/>
        <w:jc w:val="both"/>
      </w:pPr>
      <w:r>
        <w:rPr>
          <w:rFonts w:ascii="Calibri" w:cs="Calibri" w:eastAsia="Calibri" w:hAnsi="Calibri"/>
          <w:sz w:val="20"/>
          <w:szCs w:val="20"/>
        </w:rPr>
        <w:t xml:space="preserve">[26] Moskalyk RR. Gallium: the backbone of the electronics industry. Miner Eng 2003;16(10):921–929.</w:t>
      </w:r>
    </w:p>
    <w:p>
      <w:pPr>
        <w:spacing w:after="80"/>
        <w:ind w:left="360" w:hanging="360"/>
        <w:jc w:val="both"/>
      </w:pPr>
      <w:r>
        <w:rPr>
          <w:rFonts w:ascii="Calibri" w:cs="Calibri" w:eastAsia="Calibri" w:hAnsi="Calibri"/>
          <w:sz w:val="20"/>
          <w:szCs w:val="20"/>
        </w:rPr>
        <w:t xml:space="preserve">[27] U.S. Geological Survey. Gallium. In: Mineral Commodity Summaries 2024. Reston, VA: USGS; 2024.</w:t>
      </w:r>
    </w:p>
    <w:p>
      <w:pPr>
        <w:spacing w:after="80"/>
        <w:ind w:left="360" w:hanging="360"/>
        <w:jc w:val="both"/>
      </w:pPr>
      <w:r>
        <w:rPr>
          <w:rFonts w:ascii="Calibri" w:cs="Calibri" w:eastAsia="Calibri" w:hAnsi="Calibri"/>
          <w:sz w:val="20"/>
          <w:szCs w:val="20"/>
        </w:rPr>
        <w:t xml:space="preserve">[28] Bar-Cohen A, Maurer JJ, Sivananthan A. Embedded cooling for high-power electronics: ICECool fundamentals. IEEE Trans Compon Packag Manuf Technol 2021;11(10):1546–1564.</w:t>
      </w:r>
    </w:p>
    <w:p>
      <w:pPr>
        <w:spacing w:after="80"/>
        <w:ind w:left="360" w:hanging="360"/>
        <w:jc w:val="both"/>
      </w:pPr>
      <w:r>
        <w:rPr>
          <w:rFonts w:ascii="Calibri" w:cs="Calibri" w:eastAsia="Calibri" w:hAnsi="Calibri"/>
          <w:sz w:val="20"/>
          <w:szCs w:val="20"/>
        </w:rPr>
        <w:t xml:space="preserve">[29] Deng YG, Liu J. Corrosion development between liquid gallium and four typical metal substrates used in chip-cooling devices. Appl Phys A 2009;95(3):907–915.</w:t>
      </w:r>
    </w:p>
    <w:p>
      <w:pPr>
        <w:spacing w:after="80"/>
        <w:ind w:left="360" w:hanging="360"/>
        <w:jc w:val="both"/>
      </w:pPr>
      <w:r>
        <w:rPr>
          <w:rFonts w:ascii="Calibri" w:cs="Calibri" w:eastAsia="Calibri" w:hAnsi="Calibri"/>
          <w:sz w:val="20"/>
          <w:szCs w:val="20"/>
        </w:rPr>
        <w:t xml:space="preserve">[30] Zhang C, Yang B, Liu J. Nucleating agents for the suppression of gallium supercooling. Int J Heat Mass Transf 2020;148:119052.</w:t>
      </w:r>
    </w:p>
    <w:p>
      <w:pPr>
        <w:spacing w:after="80"/>
        <w:ind w:left="360" w:hanging="360"/>
        <w:jc w:val="both"/>
      </w:pPr>
      <w:r>
        <w:rPr>
          <w:rFonts w:ascii="Calibri" w:cs="Calibri" w:eastAsia="Calibri" w:hAnsi="Calibri"/>
          <w:sz w:val="20"/>
          <w:szCs w:val="20"/>
        </w:rPr>
        <w:t xml:space="preserve">[31] Guan T, Zhao Y, Sun X, et al. Production and recycling of gallium: a review. Sci Total Environ 2025;971:178956.</w:t>
      </w:r>
    </w:p>
    <w:p>
      <w:pPr>
        <w:spacing w:after="80"/>
        <w:ind w:left="360" w:hanging="360"/>
        <w:jc w:val="both"/>
      </w:pPr>
      <w:r>
        <w:rPr>
          <w:rFonts w:ascii="Calibri" w:cs="Calibri" w:eastAsia="Calibri" w:hAnsi="Calibri"/>
          <w:sz w:val="20"/>
          <w:szCs w:val="20"/>
        </w:rPr>
        <w:t xml:space="preserve">[32] Ministry of Commerce of the PRC. Announcement on export controls of gallium- and germanium-related items. Announcement No. 23/2023; 3 July 2023.</w:t>
      </w:r>
    </w:p>
    <w:p>
      <w:pPr>
        <w:spacing w:after="80"/>
        <w:ind w:left="360" w:hanging="360"/>
        <w:jc w:val="both"/>
      </w:pPr>
      <w:r>
        <w:rPr>
          <w:rFonts w:ascii="Calibri" w:cs="Calibri" w:eastAsia="Calibri" w:hAnsi="Calibri"/>
          <w:sz w:val="20"/>
          <w:szCs w:val="20"/>
        </w:rPr>
        <w:t xml:space="preserve">[33] Huang P, Copertaro B, Zhang X, et al. A review of data centers as prosumers in district energy systems. Appl Energy 2020;258:114109.</w:t>
      </w:r>
    </w:p>
    <w:p>
      <w:pPr>
        <w:spacing w:after="80"/>
        <w:ind w:left="360" w:hanging="360"/>
        <w:jc w:val="both"/>
      </w:pPr>
      <w:r>
        <w:rPr>
          <w:rFonts w:ascii="Calibri" w:cs="Calibri" w:eastAsia="Calibri" w:hAnsi="Calibri"/>
          <w:sz w:val="20"/>
          <w:szCs w:val="20"/>
        </w:rPr>
        <w:t xml:space="preserve">[34] Wahlroos M, Pärssinen M, Manner J, Syri S. Utilizing data center waste heat in district heating. Renew Sustain Energy Rev 2018;82:1749–1764.</w:t>
      </w:r>
    </w:p>
    <w:p>
      <w:pPr>
        <w:spacing w:after="80"/>
        <w:ind w:left="360" w:hanging="360"/>
        <w:jc w:val="both"/>
      </w:pPr>
      <w:r>
        <w:rPr>
          <w:rFonts w:ascii="Calibri" w:cs="Calibri" w:eastAsia="Calibri" w:hAnsi="Calibri"/>
          <w:sz w:val="20"/>
          <w:szCs w:val="20"/>
        </w:rPr>
        <w:t xml:space="preserve">[35] Yuan X, Liang Y, Hu X, et al. Waste heat recoveries in data centers for district heating networks: a comprehensive review. Renew Sustain Energy Rev 2025;219:115839.</w:t>
      </w:r>
    </w:p>
    <w:p>
      <w:pPr>
        <w:spacing w:after="80"/>
        <w:ind w:left="360" w:hanging="360"/>
        <w:jc w:val="both"/>
      </w:pPr>
      <w:r>
        <w:rPr>
          <w:rFonts w:ascii="Calibri" w:cs="Calibri" w:eastAsia="Calibri" w:hAnsi="Calibri"/>
          <w:sz w:val="20"/>
          <w:szCs w:val="20"/>
        </w:rPr>
        <w:t xml:space="preserve">[36] Yuan X, Liang Y, Hu X, et al. Waste heat recoveries in data centers: a review. Renew Sustain Energy Rev 2023;188:113777.</w:t>
      </w:r>
    </w:p>
    <w:p>
      <w:pPr>
        <w:spacing w:after="80"/>
        <w:ind w:left="360" w:hanging="360"/>
        <w:jc w:val="both"/>
      </w:pPr>
      <w:r>
        <w:rPr>
          <w:rFonts w:ascii="Calibri" w:cs="Calibri" w:eastAsia="Calibri" w:hAnsi="Calibri"/>
          <w:sz w:val="20"/>
          <w:szCs w:val="20"/>
        </w:rPr>
        <w:t xml:space="preserve">[37] Tervo S, Manner J, Syri S. Data center waste heat recovery in volatile low-carbon electricity markets. Clean Environ Syst 2025;19:100321.</w:t>
      </w:r>
    </w:p>
    <w:p>
      <w:pPr>
        <w:spacing w:after="80"/>
        <w:ind w:left="360" w:hanging="360"/>
        <w:jc w:val="both"/>
      </w:pPr>
      <w:r>
        <w:rPr>
          <w:rFonts w:ascii="Calibri" w:cs="Calibri" w:eastAsia="Calibri" w:hAnsi="Calibri"/>
          <w:sz w:val="20"/>
          <w:szCs w:val="20"/>
        </w:rPr>
        <w:t xml:space="preserve">[38] EU Smart Cities Marketplace. A datacentre supplies local heating in Mäntsälä, Finland. Brussels: EC; 2024.</w:t>
      </w:r>
    </w:p>
    <w:p>
      <w:pPr>
        <w:spacing w:after="80"/>
        <w:ind w:left="360" w:hanging="360"/>
        <w:jc w:val="both"/>
      </w:pPr>
      <w:r>
        <w:rPr>
          <w:rFonts w:ascii="Calibri" w:cs="Calibri" w:eastAsia="Calibri" w:hAnsi="Calibri"/>
          <w:sz w:val="20"/>
          <w:szCs w:val="20"/>
        </w:rPr>
        <w:t xml:space="preserve">[39] Cloud&amp;Heat Technologies. Cloud&amp;Heat at the Eurotheum. Press release; 2018.</w:t>
      </w:r>
    </w:p>
    <w:p>
      <w:pPr>
        <w:spacing w:after="80"/>
        <w:ind w:left="360" w:hanging="360"/>
        <w:jc w:val="both"/>
      </w:pPr>
      <w:r>
        <w:rPr>
          <w:rFonts w:ascii="Calibri" w:cs="Calibri" w:eastAsia="Calibri" w:hAnsi="Calibri"/>
          <w:sz w:val="20"/>
          <w:szCs w:val="20"/>
        </w:rPr>
        <w:t xml:space="preserve">[40] Intel Market Research. Direct liquid cooling cold plates for server market outlook 2025–2032. New York: Intel Market Research; 2025.</w:t>
      </w:r>
    </w:p>
    <w:p>
      <w:pPr>
        <w:spacing w:after="80"/>
        <w:ind w:left="360" w:hanging="360"/>
        <w:jc w:val="both"/>
      </w:pPr>
      <w:r>
        <w:rPr>
          <w:rFonts w:ascii="Calibri" w:cs="Calibri" w:eastAsia="Calibri" w:hAnsi="Calibri"/>
          <w:sz w:val="20"/>
          <w:szCs w:val="20"/>
        </w:rPr>
        <w:t xml:space="preserve">[41] Federal Government of Germany. Energieeffizienzgesetz (EnEfG). Bundesgesetzblatt 2023;Teil I Nr. 309. 18 November 2023.</w:t>
      </w:r>
    </w:p>
    <w:p>
      <w:pPr>
        <w:spacing w:after="80"/>
        <w:ind w:left="360" w:hanging="360"/>
        <w:jc w:val="both"/>
      </w:pPr>
      <w:r>
        <w:rPr>
          <w:rFonts w:ascii="Calibri" w:cs="Calibri" w:eastAsia="Calibri" w:hAnsi="Calibri"/>
          <w:sz w:val="20"/>
          <w:szCs w:val="20"/>
        </w:rPr>
        <w:t xml:space="preserve">[42] Bird &amp; Bird. Data centres and waste heat: legal requirements under the German EnEfG. London: Bird &amp; Bird LLP; 2024.</w:t>
      </w:r>
    </w:p>
    <w:p>
      <w:pPr>
        <w:spacing w:after="80"/>
        <w:ind w:left="360" w:hanging="360"/>
        <w:jc w:val="both"/>
      </w:pPr>
      <w:r>
        <w:rPr>
          <w:rFonts w:ascii="Calibri" w:cs="Calibri" w:eastAsia="Calibri" w:hAnsi="Calibri"/>
          <w:sz w:val="20"/>
          <w:szCs w:val="20"/>
        </w:rPr>
        <w:t xml:space="preserve">[43] Onero Institute. Rethinking China data center strategy for AI dominance. Washington DC: Onero Institute; 2025.</w:t>
      </w:r>
    </w:p>
    <w:p>
      <w:pPr>
        <w:spacing w:after="80"/>
        <w:ind w:left="360" w:hanging="360"/>
        <w:jc w:val="both"/>
      </w:pPr>
      <w:r>
        <w:rPr>
          <w:rFonts w:ascii="Calibri" w:cs="Calibri" w:eastAsia="Calibri" w:hAnsi="Calibri"/>
          <w:sz w:val="20"/>
          <w:szCs w:val="20"/>
        </w:rPr>
        <w:t xml:space="preserve">[44] Arpagaus C, Bless F, Uhlmann M, et al. High-temperature heat pumps. Energy 2018;152:985–1010.</w:t>
      </w:r>
    </w:p>
    <w:p>
      <w:pPr>
        <w:spacing w:after="80"/>
        <w:ind w:left="360" w:hanging="360"/>
        <w:jc w:val="both"/>
      </w:pPr>
      <w:r>
        <w:rPr>
          <w:rFonts w:ascii="Calibri" w:cs="Calibri" w:eastAsia="Calibri" w:hAnsi="Calibri"/>
          <w:sz w:val="20"/>
          <w:szCs w:val="20"/>
        </w:rPr>
        <w:t xml:space="preserve">[45] Bever L, Schiffmann J. High-temperature heat pumps for industrial use. Chem Ing Tech 2024;96(5):667–681.</w:t>
      </w:r>
    </w:p>
    <w:p>
      <w:pPr>
        <w:spacing w:after="80"/>
        <w:ind w:left="360" w:hanging="360"/>
        <w:jc w:val="both"/>
      </w:pPr>
      <w:r>
        <w:rPr>
          <w:rFonts w:ascii="Calibri" w:cs="Calibri" w:eastAsia="Calibri" w:hAnsi="Calibri"/>
          <w:sz w:val="20"/>
          <w:szCs w:val="20"/>
        </w:rPr>
        <w:t xml:space="preserve">[46] Allied Market Research. Liquid cooling market for AI data centers, 2025–2032. Portland, OR: Allied Market Research; 2025.</w:t>
      </w:r>
    </w:p>
    <w:p>
      <w:pPr>
        <w:spacing w:after="80"/>
        <w:ind w:left="360" w:hanging="360"/>
        <w:jc w:val="both"/>
      </w:pPr>
      <w:r>
        <w:rPr>
          <w:rFonts w:ascii="Calibri" w:cs="Calibri" w:eastAsia="Calibri" w:hAnsi="Calibri"/>
          <w:sz w:val="20"/>
          <w:szCs w:val="20"/>
        </w:rPr>
        <w:t xml:space="preserve">[47] 3M. 3M to exit per- and polyfluoroalkyl substances (PFAS) manufacturing by the end of 2025. News release; 20 December 2022.</w:t>
      </w:r>
    </w:p>
    <w:p>
      <w:pPr>
        <w:spacing w:after="80"/>
        <w:ind w:left="360" w:hanging="360"/>
        <w:jc w:val="both"/>
      </w:pPr>
      <w:r>
        <w:rPr>
          <w:rFonts w:ascii="Calibri" w:cs="Calibri" w:eastAsia="Calibri" w:hAnsi="Calibri"/>
          <w:sz w:val="20"/>
          <w:szCs w:val="20"/>
        </w:rPr>
        <w:t xml:space="preserve">[48a] Uptime Institute. Global Data Center Survey 2024. New York: Uptime Institute; 2024.</w:t>
      </w:r>
    </w:p>
    <w:p>
      <w:pPr>
        <w:spacing w:after="80"/>
        <w:ind w:left="360" w:hanging="360"/>
        <w:jc w:val="both"/>
      </w:pPr>
      <w:r>
        <w:rPr>
          <w:rFonts w:ascii="Calibri" w:cs="Calibri" w:eastAsia="Calibri" w:hAnsi="Calibri"/>
          <w:sz w:val="20"/>
          <w:szCs w:val="20"/>
        </w:rPr>
        <w:t xml:space="preserve">[48b] Lawrence Berkeley National Laboratory. United States data center energy use report 2024. Berkeley, CA: LBNL; 2024.</w:t>
      </w:r>
    </w:p>
    <w:p>
      <w:pPr>
        <w:spacing w:after="80"/>
        <w:ind w:left="360" w:hanging="360"/>
        <w:jc w:val="both"/>
      </w:pPr>
      <w:r>
        <w:rPr>
          <w:rFonts w:ascii="Calibri" w:cs="Calibri" w:eastAsia="Calibri" w:hAnsi="Calibri"/>
          <w:sz w:val="20"/>
          <w:szCs w:val="20"/>
        </w:rPr>
        <w:t xml:space="preserve">[48c] ASHRAE Technical Committee 9.9. Liquid cooling guidelines for datacom equipment centers, 2nd ed. Atlanta, GA: ASHRAE; 2024.</w:t>
      </w:r>
    </w:p>
    <w:p>
      <w:pPr>
        <w:spacing w:after="80"/>
        <w:ind w:left="360" w:hanging="360"/>
        <w:jc w:val="both"/>
      </w:pPr>
      <w:r>
        <w:rPr>
          <w:rFonts w:ascii="Calibri" w:cs="Calibri" w:eastAsia="Calibri" w:hAnsi="Calibri"/>
          <w:sz w:val="20"/>
          <w:szCs w:val="20"/>
        </w:rPr>
        <w:t xml:space="preserve">[48d] Open Compute Project. Advanced Cooling Solutions: cold-plate reference design specification. Austin, TX: OCP Foundation; 2024.</w:t>
      </w:r>
    </w:p>
    <w:p>
      <w:pPr>
        <w:spacing w:after="80"/>
        <w:ind w:left="360" w:hanging="360"/>
        <w:jc w:val="both"/>
      </w:pPr>
      <w:r>
        <w:rPr>
          <w:rFonts w:ascii="Calibri" w:cs="Calibri" w:eastAsia="Calibri" w:hAnsi="Calibri"/>
          <w:sz w:val="20"/>
          <w:szCs w:val="20"/>
        </w:rPr>
        <w:t xml:space="preserve">[49] Microsoft. AI chips are getting hotter: a microfluidics breakthrough goes straight to the silicon. Microsoft Source; September 2025.</w:t>
      </w:r>
    </w:p>
    <w:p>
      <w:pPr>
        <w:spacing w:after="80"/>
        <w:ind w:left="360" w:hanging="360"/>
        <w:jc w:val="both"/>
      </w:pPr>
      <w:r>
        <w:rPr>
          <w:rFonts w:ascii="Calibri" w:cs="Calibri" w:eastAsia="Calibri" w:hAnsi="Calibri"/>
          <w:sz w:val="20"/>
          <w:szCs w:val="20"/>
        </w:rPr>
        <w:t xml:space="preserve">[50] Lawrence Berkeley National Laboratory. Data Center Energy Practitioner program: water-consumption update. Berkeley, CA: LBNL; 2024.</w:t>
      </w:r>
    </w:p>
    <w:p>
      <w:pPr>
        <w:spacing w:after="80"/>
        <w:ind w:left="360" w:hanging="360"/>
        <w:jc w:val="both"/>
      </w:pPr>
      <w:r>
        <w:rPr>
          <w:rFonts w:ascii="Calibri" w:cs="Calibri" w:eastAsia="Calibri" w:hAnsi="Calibri"/>
          <w:sz w:val="20"/>
          <w:szCs w:val="20"/>
        </w:rPr>
        <w:t xml:space="preserve">[51] Mytton D. Data centre water consumption. npj Clean Water 2021;4:11.</w:t>
      </w:r>
    </w:p>
    <w:p>
      <w:pPr>
        <w:spacing w:after="80"/>
        <w:ind w:left="360" w:hanging="360"/>
        <w:jc w:val="both"/>
      </w:pPr>
      <w:r>
        <w:rPr>
          <w:rFonts w:ascii="Calibri" w:cs="Calibri" w:eastAsia="Calibri" w:hAnsi="Calibri"/>
          <w:sz w:val="20"/>
          <w:szCs w:val="20"/>
        </w:rPr>
        <w:t xml:space="preserve">[52] Fortum Corporation. Construction of Fortum heat-pump plant has started at Microsoft data centre site in Kirkkonummi. Helsinki: Fortum; January 2025.</w:t>
      </w:r>
    </w:p>
    <w:p>
      <w:pPr>
        <w:spacing w:after="80"/>
        <w:ind w:left="360" w:hanging="360"/>
        <w:jc w:val="both"/>
      </w:pPr>
      <w:r>
        <w:rPr>
          <w:rFonts w:ascii="Calibri" w:cs="Calibri" w:eastAsia="Calibri" w:hAnsi="Calibri"/>
          <w:sz w:val="20"/>
          <w:szCs w:val="20"/>
        </w:rPr>
        <w:t xml:space="preserve">[53] Data Centre Solutions. DigiPlex data centre to heat 10,000 Stockholm households. 2018.</w:t>
      </w:r>
    </w:p>
    <w:p>
      <w:pPr>
        <w:spacing w:after="80"/>
        <w:ind w:left="360" w:hanging="360"/>
        <w:jc w:val="both"/>
      </w:pPr>
      <w:r>
        <w:rPr>
          <w:rFonts w:ascii="Calibri" w:cs="Calibri" w:eastAsia="Calibri" w:hAnsi="Calibri"/>
          <w:sz w:val="20"/>
          <w:szCs w:val="20"/>
        </w:rPr>
        <w:t xml:space="preserve">[54] EU Covenant of Mayors. Stockholm, Sweden: heat recovery from data centres. Brussels: EC; 2024.</w:t>
      </w:r>
    </w:p>
    <w:p>
      <w:pPr>
        <w:spacing w:after="80"/>
        <w:ind w:left="360" w:hanging="360"/>
        <w:jc w:val="both"/>
      </w:pPr>
      <w:r>
        <w:rPr>
          <w:rFonts w:ascii="Calibri" w:cs="Calibri" w:eastAsia="Calibri" w:hAnsi="Calibri"/>
          <w:sz w:val="20"/>
          <w:szCs w:val="20"/>
        </w:rPr>
        <w:t xml:space="preserve">[55] Telehouse Germany. Telehouse Germany combines growth, performance and sustainability at newly opened data centre in Frankfurt. London: Telehouse International; January 2024.</w:t>
      </w:r>
    </w:p>
    <w:p>
      <w:pPr>
        <w:spacing w:after="80"/>
        <w:ind w:left="360" w:hanging="360"/>
        <w:jc w:val="both"/>
      </w:pPr>
      <w:r>
        <w:rPr>
          <w:rFonts w:ascii="Calibri" w:cs="Calibri" w:eastAsia="Calibri" w:hAnsi="Calibri"/>
          <w:sz w:val="20"/>
          <w:szCs w:val="20"/>
        </w:rPr>
        <w:t xml:space="preserve">[56] Dillet R. Qarnot creates green data centers by putting servers in central heating boilers. TechCrunch; 9 January 2023.</w:t>
      </w:r>
    </w:p>
    <w:p>
      <w:pPr>
        <w:spacing w:after="80"/>
        <w:ind w:left="360" w:hanging="360"/>
        <w:jc w:val="both"/>
      </w:pPr>
      <w:r>
        <w:rPr>
          <w:rFonts w:ascii="Calibri" w:cs="Calibri" w:eastAsia="Calibri" w:hAnsi="Calibri"/>
          <w:sz w:val="20"/>
          <w:szCs w:val="20"/>
        </w:rPr>
        <w:t xml:space="preserve">[57] DataCenterDynamics. UK data center startup offers to heat Britain swimming pools with waste heat. 2023.</w:t>
      </w:r>
    </w:p>
    <w:p>
      <w:pPr>
        <w:spacing w:after="80"/>
        <w:ind w:left="360" w:hanging="360"/>
        <w:jc w:val="both"/>
      </w:pPr>
      <w:r>
        <w:rPr>
          <w:rFonts w:ascii="Calibri" w:cs="Calibri" w:eastAsia="Calibri" w:hAnsi="Calibri"/>
          <w:sz w:val="20"/>
          <w:szCs w:val="20"/>
        </w:rPr>
        <w:t xml:space="preserve">[58] DataCenterDynamics. Going underground at Norway Lefdal Mine data center. 2024.</w:t>
      </w:r>
    </w:p>
    <w:p>
      <w:pPr>
        <w:spacing w:after="80"/>
        <w:ind w:left="360" w:hanging="360"/>
        <w:jc w:val="both"/>
      </w:pPr>
      <w:r>
        <w:rPr>
          <w:rFonts w:ascii="Calibri" w:cs="Calibri" w:eastAsia="Calibri" w:hAnsi="Calibri"/>
          <w:sz w:val="20"/>
          <w:szCs w:val="20"/>
        </w:rPr>
        <w:t xml:space="preserve">[59] The Register. Norway new supercomputer to use waste heat to raise salmon. 26 November 2025.</w:t>
      </w:r>
    </w:p>
    <w:p>
      <w:pPr>
        <w:spacing w:after="80"/>
        <w:ind w:left="360" w:hanging="360"/>
        <w:jc w:val="both"/>
      </w:pPr>
      <w:r>
        <w:rPr>
          <w:rFonts w:ascii="Calibri" w:cs="Calibri" w:eastAsia="Calibri" w:hAnsi="Calibri"/>
          <w:sz w:val="20"/>
          <w:szCs w:val="20"/>
        </w:rPr>
        <w:t xml:space="preserve">[60] Wang J, Zhang L, Chen Y, et al. Energy performance study of a data center combined cooling system integrated with heat storage and waste heat recovery. Buildings 2025;15(3):326.</w:t>
      </w:r>
    </w:p>
    <w:p>
      <w:pPr>
        <w:spacing w:after="80"/>
        <w:ind w:left="360" w:hanging="360"/>
        <w:jc w:val="both"/>
      </w:pPr>
      <w:r>
        <w:rPr>
          <w:rFonts w:ascii="Calibri" w:cs="Calibri" w:eastAsia="Calibri" w:hAnsi="Calibri"/>
          <w:sz w:val="20"/>
          <w:szCs w:val="20"/>
        </w:rPr>
        <w:t xml:space="preserve">[61] Sheldon S, Hughes J. Cradle-to-gate life-cycle inventory of polyalphaolefin and synthetic-ester base oils. Lubr Sci 2023;35(4):216–230.</w:t>
      </w:r>
    </w:p>
    <w:p>
      <w:pPr>
        <w:spacing w:after="80"/>
        <w:ind w:left="360" w:hanging="360"/>
        <w:jc w:val="both"/>
      </w:pPr>
      <w:r>
        <w:rPr>
          <w:rFonts w:ascii="Calibri" w:cs="Calibri" w:eastAsia="Calibri" w:hAnsi="Calibri"/>
          <w:sz w:val="20"/>
          <w:szCs w:val="20"/>
        </w:rPr>
        <w:t xml:space="preserve">[62] Alibaba Cloud. Alibaba single-phase immersion cooling deployment: sustainability disclosures. Hangzhou: Alibaba Cloud; 2024.</w:t>
      </w:r>
    </w:p>
    <w:p>
      <w:pPr>
        <w:spacing w:after="80"/>
        <w:ind w:left="360" w:hanging="360"/>
        <w:jc w:val="both"/>
      </w:pPr>
      <w:r>
        <w:rPr>
          <w:rFonts w:ascii="Calibri" w:cs="Calibri" w:eastAsia="Calibri" w:hAnsi="Calibri"/>
          <w:sz w:val="20"/>
          <w:szCs w:val="20"/>
        </w:rPr>
        <w:t xml:space="preserve">[63] Ministry of Industry and Information Technology (PRC). Three-year action plan for new data center development (2021–2023). Beijing: MIIT; 2021.</w:t>
      </w:r>
    </w:p>
    <w:p>
      <w:pPr>
        <w:spacing w:after="80"/>
        <w:ind w:left="360" w:hanging="360"/>
        <w:jc w:val="both"/>
      </w:pPr>
      <w:r>
        <w:rPr>
          <w:rFonts w:ascii="Calibri" w:cs="Calibri" w:eastAsia="Calibri" w:hAnsi="Calibri"/>
          <w:sz w:val="20"/>
          <w:szCs w:val="20"/>
        </w:rPr>
        <w:t xml:space="preserve">[64] Onero Institute. China data-centre district-heating fuel-mix data. Washington DC: Onero Institute; 2025.</w:t>
      </w:r>
    </w:p>
    <w:p>
      <w:pPr>
        <w:spacing w:after="80"/>
        <w:ind w:left="360" w:hanging="360"/>
        <w:jc w:val="both"/>
      </w:pPr>
      <w:r>
        <w:rPr>
          <w:rFonts w:ascii="Calibri" w:cs="Calibri" w:eastAsia="Calibri" w:hAnsi="Calibri"/>
          <w:sz w:val="20"/>
          <w:szCs w:val="20"/>
        </w:rPr>
        <w:t xml:space="preserve">[65] American Conference of Governmental Industrial Hygienists (ACGIH). Threshold limit values for chemical substances and physical agents. Cincinnati, OH: ACGIH; 2025.</w:t>
      </w:r>
    </w:p>
    <w:p>
      <w:pPr>
        <w:spacing w:after="80"/>
        <w:ind w:left="360" w:hanging="360"/>
        <w:jc w:val="both"/>
      </w:pPr>
      <w:r>
        <w:rPr>
          <w:rFonts w:ascii="Calibri" w:cs="Calibri" w:eastAsia="Calibri" w:hAnsi="Calibri"/>
          <w:sz w:val="20"/>
          <w:szCs w:val="20"/>
        </w:rPr>
        <w:t xml:space="preserve">[66] Nakano M, Omae K, Tanaka A, et al. Causes of chronic occupational interstitial lung disease in indium-tin oxide production and processing facilities. Occup Environ Med 2009;66(11):777–778.</w:t>
      </w:r>
    </w:p>
    <w:p>
      <w:pPr>
        <w:spacing w:after="80"/>
        <w:ind w:left="360" w:hanging="360"/>
        <w:jc w:val="both"/>
      </w:pPr>
      <w:r>
        <w:rPr>
          <w:rFonts w:ascii="Calibri" w:cs="Calibri" w:eastAsia="Calibri" w:hAnsi="Calibri"/>
          <w:sz w:val="20"/>
          <w:szCs w:val="20"/>
        </w:rPr>
        <w:t xml:space="preserve">[67] de Vries A, Stoll C. Bitcoin growing e-waste problem. Resources, Conservation and Recycling 2021;175:105901.</w:t>
      </w:r>
    </w:p>
    <w:p>
      <w:pPr>
        <w:spacing w:after="80"/>
        <w:ind w:left="360" w:hanging="360"/>
        <w:jc w:val="both"/>
      </w:pPr>
      <w:r>
        <w:rPr>
          <w:rFonts w:ascii="Calibri" w:cs="Calibri" w:eastAsia="Calibri" w:hAnsi="Calibri"/>
          <w:sz w:val="20"/>
          <w:szCs w:val="20"/>
        </w:rPr>
        <w:t xml:space="preserve">[68] Tuckerman DB, Pease RFW. High-performance heat sinking for VLSI. IEEE Electron Device Lett 1981;EDL-2(5):126–129.</w:t>
      </w:r>
    </w:p>
    <w:p>
      <w:pPr>
        <w:spacing w:after="80"/>
        <w:ind w:left="360" w:hanging="360"/>
        <w:jc w:val="both"/>
      </w:pPr>
      <w:r>
        <w:rPr>
          <w:rFonts w:ascii="Calibri" w:cs="Calibri" w:eastAsia="Calibri" w:hAnsi="Calibri"/>
          <w:sz w:val="20"/>
          <w:szCs w:val="20"/>
        </w:rPr>
        <w:t xml:space="preserve">[69] Field JE (ed.). The Properties of Natural and Synthetic Diamond. London: Academic Press; 1992.</w:t>
      </w:r>
    </w:p>
    <w:p>
      <w:pPr>
        <w:spacing w:after="80"/>
        <w:ind w:left="360" w:hanging="360"/>
        <w:jc w:val="both"/>
      </w:pPr>
      <w:r>
        <w:rPr>
          <w:rFonts w:ascii="Calibri" w:cs="Calibri" w:eastAsia="Calibri" w:hAnsi="Calibri"/>
          <w:sz w:val="20"/>
          <w:szCs w:val="20"/>
        </w:rPr>
        <w:t xml:space="preserve">[70] Mudawar I. Assessment of high-heat-flux thermal management schemes. IEEE Trans Compon Packag Technol 2001;24(2):122–141.</w:t>
      </w:r>
    </w:p>
    <w:p>
      <w:pPr>
        <w:spacing w:after="80"/>
        <w:ind w:left="360" w:hanging="360"/>
        <w:jc w:val="both"/>
      </w:pPr>
      <w:r>
        <w:rPr>
          <w:rFonts w:ascii="Calibri" w:cs="Calibri" w:eastAsia="Calibri" w:hAnsi="Calibri"/>
          <w:sz w:val="20"/>
          <w:szCs w:val="20"/>
        </w:rPr>
        <w:t xml:space="preserve">[71] Patel CD, Bash CE, Sharma R, Beitelmal M, Friedrich R. Smart cooling of data centers. Proc ASME IPACK; 2003.</w:t>
      </w:r>
    </w:p>
    <w:p>
      <w:pPr>
        <w:spacing w:after="80"/>
        <w:ind w:left="360" w:hanging="360"/>
        <w:jc w:val="both"/>
      </w:pPr>
      <w:r>
        <w:rPr>
          <w:rFonts w:ascii="Calibri" w:cs="Calibri" w:eastAsia="Calibri" w:hAnsi="Calibri"/>
          <w:sz w:val="20"/>
          <w:szCs w:val="20"/>
        </w:rPr>
        <w:t xml:space="preserve">[72] Garimella SV, Sobhan CB. Transport in microchannels — a critical review. Annu Rev Heat Transfer 2003;13:1–50.</w:t>
      </w:r>
    </w:p>
    <w:p>
      <w:pPr>
        <w:spacing w:after="80"/>
        <w:ind w:left="360" w:hanging="360"/>
        <w:jc w:val="both"/>
      </w:pPr>
      <w:r>
        <w:rPr>
          <w:rFonts w:ascii="Calibri" w:cs="Calibri" w:eastAsia="Calibri" w:hAnsi="Calibri"/>
          <w:sz w:val="20"/>
          <w:szCs w:val="20"/>
        </w:rPr>
        <w:t xml:space="preserve">[73] Zalba B, Marín JM, Cabeza LF, Mehling H. Review on thermal energy storage with phase change: materials, heat transfer analysis and applications. Appl Therm Eng 2003;23(3):251–283.</w:t>
      </w:r>
    </w:p>
    <w:p>
      <w:pPr>
        <w:spacing w:after="80"/>
        <w:ind w:left="360" w:hanging="360"/>
        <w:jc w:val="both"/>
      </w:pPr>
      <w:r>
        <w:rPr>
          <w:rFonts w:ascii="Calibri" w:cs="Calibri" w:eastAsia="Calibri" w:hAnsi="Calibri"/>
          <w:sz w:val="20"/>
          <w:szCs w:val="20"/>
        </w:rPr>
        <w:t xml:space="preserve">[74] Kandlikar SG. Heat transfer mechanisms during flow boiling in microchannels. J Heat Transfer 2004;126(1):8–16.</w:t>
      </w:r>
    </w:p>
    <w:p>
      <w:pPr>
        <w:spacing w:after="80"/>
        <w:ind w:left="360" w:hanging="360"/>
        <w:jc w:val="both"/>
      </w:pPr>
      <w:r>
        <w:rPr>
          <w:rFonts w:ascii="Calibri" w:cs="Calibri" w:eastAsia="Calibri" w:hAnsi="Calibri"/>
          <w:sz w:val="20"/>
          <w:szCs w:val="20"/>
        </w:rPr>
        <w:t xml:space="preserve">[75] Kenisarin M, Mahkamov K. Solar energy storage using phase change materials. Renew Sustain Energy Rev 2007;11(9):1913–1965.</w:t>
      </w:r>
    </w:p>
    <w:p>
      <w:pPr>
        <w:spacing w:after="80"/>
        <w:ind w:left="360" w:hanging="360"/>
        <w:jc w:val="both"/>
      </w:pPr>
      <w:r>
        <w:rPr>
          <w:rFonts w:ascii="Calibri" w:cs="Calibri" w:eastAsia="Calibri" w:hAnsi="Calibri"/>
          <w:sz w:val="20"/>
          <w:szCs w:val="20"/>
        </w:rPr>
        <w:t xml:space="preserve">[76] Wort CJH, Balmer RS. Diamond as an electronic material. Mater Today 2008;11(1–2):22–28.</w:t>
      </w:r>
    </w:p>
    <w:p>
      <w:pPr>
        <w:spacing w:after="80"/>
        <w:ind w:left="360" w:hanging="360"/>
        <w:jc w:val="both"/>
      </w:pPr>
      <w:r>
        <w:rPr>
          <w:rFonts w:ascii="Calibri" w:cs="Calibri" w:eastAsia="Calibri" w:hAnsi="Calibri"/>
          <w:sz w:val="20"/>
          <w:szCs w:val="20"/>
        </w:rPr>
        <w:t xml:space="preserve">[77] Koomey JG. Worldwide electricity used in data centers. Environ Res Lett 2008;3:034008.</w:t>
      </w:r>
    </w:p>
    <w:p>
      <w:pPr>
        <w:spacing w:after="80"/>
        <w:ind w:left="360" w:hanging="360"/>
        <w:jc w:val="both"/>
      </w:pPr>
      <w:r>
        <w:rPr>
          <w:rFonts w:ascii="Calibri" w:cs="Calibri" w:eastAsia="Calibri" w:hAnsi="Calibri"/>
          <w:sz w:val="20"/>
          <w:szCs w:val="20"/>
        </w:rPr>
        <w:t xml:space="preserve">[78] Sharma A, Tyagi VV, Chen CR, Buddhi D. Review on thermal energy storage with phase change materials. Renew Sustain Energy Rev 2009;13(2):318–345.</w:t>
      </w:r>
    </w:p>
    <w:p>
      <w:pPr>
        <w:spacing w:after="80"/>
        <w:ind w:left="360" w:hanging="360"/>
        <w:jc w:val="both"/>
      </w:pPr>
      <w:r>
        <w:rPr>
          <w:rFonts w:ascii="Calibri" w:cs="Calibri" w:eastAsia="Calibri" w:hAnsi="Calibri"/>
          <w:sz w:val="20"/>
          <w:szCs w:val="20"/>
        </w:rPr>
        <w:t xml:space="preserve">[79] Brunschwiler T, Paredes S, Drechsler U, et al. Direct waste heat utilization from liquid-cooled supercomputers. IBM J Res Dev 2009;53(4):1–13.</w:t>
      </w:r>
    </w:p>
    <w:p>
      <w:pPr>
        <w:spacing w:after="80"/>
        <w:ind w:left="360" w:hanging="360"/>
        <w:jc w:val="both"/>
      </w:pPr>
      <w:r>
        <w:rPr>
          <w:rFonts w:ascii="Calibri" w:cs="Calibri" w:eastAsia="Calibri" w:hAnsi="Calibri"/>
          <w:sz w:val="20"/>
          <w:szCs w:val="20"/>
        </w:rPr>
        <w:t xml:space="preserve">[80] Pakbaznia E, Pedram M. Minimizing data center cooling and server power costs. Proc ACM/IEEE ISLPED; 2009. p. 145–150.</w:t>
      </w:r>
    </w:p>
    <w:p>
      <w:pPr>
        <w:spacing w:after="80"/>
        <w:ind w:left="360" w:hanging="360"/>
        <w:jc w:val="both"/>
      </w:pPr>
      <w:r>
        <w:rPr>
          <w:rFonts w:ascii="Calibri" w:cs="Calibri" w:eastAsia="Calibri" w:hAnsi="Calibri"/>
          <w:sz w:val="20"/>
          <w:szCs w:val="20"/>
        </w:rPr>
        <w:t xml:space="preserve">[81] Koomey JG. Growth in data center electricity use 2005 to 2010. Oakland, CA: Analytics Press; 2011.</w:t>
      </w:r>
    </w:p>
    <w:p>
      <w:pPr>
        <w:spacing w:after="80"/>
        <w:ind w:left="360" w:hanging="360"/>
        <w:jc w:val="both"/>
      </w:pPr>
      <w:r>
        <w:rPr>
          <w:rFonts w:ascii="Calibri" w:cs="Calibri" w:eastAsia="Calibri" w:hAnsi="Calibri"/>
          <w:sz w:val="20"/>
          <w:szCs w:val="20"/>
        </w:rPr>
        <w:t xml:space="preserve">[82] Cabeza LF, Castell A, Barreneche C, de Gracia A, Fernández AI. Materials used as PCM in thermal energy storage in buildings: a review. Renew Sustain Energy Rev 2011;15(3):1675–1695.</w:t>
      </w:r>
    </w:p>
    <w:p>
      <w:pPr>
        <w:spacing w:after="80"/>
        <w:ind w:left="360" w:hanging="360"/>
        <w:jc w:val="both"/>
      </w:pPr>
      <w:r>
        <w:rPr>
          <w:rFonts w:ascii="Calibri" w:cs="Calibri" w:eastAsia="Calibri" w:hAnsi="Calibri"/>
          <w:sz w:val="20"/>
          <w:szCs w:val="20"/>
        </w:rPr>
        <w:t xml:space="preserve">[83] Iyengar M, David M, Parida P, et al. Server liquid cooling with chiller-less data center design. Proc IEEE ITherm; 2012.</w:t>
      </w:r>
    </w:p>
    <w:p>
      <w:pPr>
        <w:spacing w:after="80"/>
        <w:ind w:left="360" w:hanging="360"/>
        <w:jc w:val="both"/>
      </w:pPr>
      <w:r>
        <w:rPr>
          <w:rFonts w:ascii="Calibri" w:cs="Calibri" w:eastAsia="Calibri" w:hAnsi="Calibri"/>
          <w:sz w:val="20"/>
          <w:szCs w:val="20"/>
        </w:rPr>
        <w:t xml:space="preserve">[84] Marcinichen JB, Olivier JA, Thome JR. On-chip two-phase cooling: design and assessment. Appl Therm Eng 2012;41:36–51.</w:t>
      </w:r>
    </w:p>
    <w:p>
      <w:pPr>
        <w:spacing w:after="80"/>
        <w:ind w:left="360" w:hanging="360"/>
        <w:jc w:val="both"/>
      </w:pPr>
      <w:r>
        <w:rPr>
          <w:rFonts w:ascii="Calibri" w:cs="Calibri" w:eastAsia="Calibri" w:hAnsi="Calibri"/>
          <w:sz w:val="20"/>
          <w:szCs w:val="20"/>
        </w:rPr>
        <w:t xml:space="preserve">[85] Connolly D, Lund H, Mathiesen BV, et al. Heat Roadmap Europe: combining district heating with heat savings to decarbonise the EU energy system. Energy Policy 2014;65:475–489.</w:t>
      </w:r>
    </w:p>
    <w:p>
      <w:pPr>
        <w:spacing w:after="80"/>
        <w:ind w:left="360" w:hanging="360"/>
        <w:jc w:val="both"/>
      </w:pPr>
      <w:r>
        <w:rPr>
          <w:rFonts w:ascii="Calibri" w:cs="Calibri" w:eastAsia="Calibri" w:hAnsi="Calibri"/>
          <w:sz w:val="20"/>
          <w:szCs w:val="20"/>
        </w:rPr>
        <w:t xml:space="preserve">[86] Lund H, Werner S, Wiltshire R, et al. 4th Generation District Heating (4GDH): integrating smart thermal grids and networks into future sustainable energy systems. Energy 2014;68:1–11.</w:t>
      </w:r>
    </w:p>
    <w:p>
      <w:pPr>
        <w:spacing w:after="80"/>
        <w:ind w:left="360" w:hanging="360"/>
        <w:jc w:val="both"/>
      </w:pPr>
      <w:r>
        <w:rPr>
          <w:rFonts w:ascii="Calibri" w:cs="Calibri" w:eastAsia="Calibri" w:hAnsi="Calibri"/>
          <w:sz w:val="20"/>
          <w:szCs w:val="20"/>
        </w:rPr>
        <w:t xml:space="preserve">[87] Ebrahimi K, Jones GF, Fleischer AS. A review of data center cooling technology, operating conditions and the corresponding low-grade waste heat recovery opportunities. Renew Sustain Energy Rev 2014;31:622–638.</w:t>
      </w:r>
    </w:p>
    <w:p>
      <w:pPr>
        <w:spacing w:after="80"/>
        <w:ind w:left="360" w:hanging="360"/>
        <w:jc w:val="both"/>
      </w:pPr>
      <w:r>
        <w:rPr>
          <w:rFonts w:ascii="Calibri" w:cs="Calibri" w:eastAsia="Calibri" w:hAnsi="Calibri"/>
          <w:sz w:val="20"/>
          <w:szCs w:val="20"/>
        </w:rPr>
        <w:t xml:space="preserve">[88] Hodes M, Zhang R, Lam LS, Wilcoxon R, Lower N. On the potential of galinstan-based minichannel and minigap cooling. IEEE Trans Compon Packag Manuf Technol 2014;4(1):46–56.</w:t>
      </w:r>
    </w:p>
    <w:p>
      <w:pPr>
        <w:spacing w:after="80"/>
        <w:ind w:left="360" w:hanging="360"/>
        <w:jc w:val="both"/>
      </w:pPr>
      <w:r>
        <w:rPr>
          <w:rFonts w:ascii="Calibri" w:cs="Calibri" w:eastAsia="Calibri" w:hAnsi="Calibri"/>
          <w:sz w:val="20"/>
          <w:szCs w:val="20"/>
        </w:rPr>
        <w:t xml:space="preserve">[89] Andrae ASG, Edler T. On global electricity usage of communication technology: trends to 2030. Challenges 2015;6(1):117–157.</w:t>
      </w:r>
    </w:p>
    <w:p>
      <w:pPr>
        <w:spacing w:after="80"/>
        <w:ind w:left="360" w:hanging="360"/>
        <w:jc w:val="both"/>
      </w:pPr>
      <w:r>
        <w:rPr>
          <w:rFonts w:ascii="Calibri" w:cs="Calibri" w:eastAsia="Calibri" w:hAnsi="Calibri"/>
          <w:sz w:val="20"/>
          <w:szCs w:val="20"/>
        </w:rPr>
        <w:t xml:space="preserve">[90] Capozzoli A, Primiceri G. Cooling systems in data centers: state of art and emerging technologies. Energy Procedia 2015;83:484–493.</w:t>
      </w:r>
    </w:p>
    <w:p>
      <w:pPr>
        <w:spacing w:after="80"/>
        <w:ind w:left="360" w:hanging="360"/>
        <w:jc w:val="both"/>
      </w:pPr>
      <w:r>
        <w:rPr>
          <w:rFonts w:ascii="Calibri" w:cs="Calibri" w:eastAsia="Calibri" w:hAnsi="Calibri"/>
          <w:sz w:val="20"/>
          <w:szCs w:val="20"/>
        </w:rPr>
        <w:t xml:space="preserve">[91] Shehabi A, Smith SJ, Sartor DA, Brown RE, Herrlin M, Koomey JG, et al. United States data center energy usage report. Berkeley, CA: LBNL-1005775; 2016.</w:t>
      </w:r>
    </w:p>
    <w:p>
      <w:pPr>
        <w:spacing w:after="80"/>
        <w:ind w:left="360" w:hanging="360"/>
        <w:jc w:val="both"/>
      </w:pPr>
      <w:r>
        <w:rPr>
          <w:rFonts w:ascii="Calibri" w:cs="Calibri" w:eastAsia="Calibri" w:hAnsi="Calibri"/>
          <w:sz w:val="20"/>
          <w:szCs w:val="20"/>
        </w:rPr>
        <w:t xml:space="preserve">[92] Werner S. International review of district heating and cooling. Energy 2017;137:617–631.</w:t>
      </w:r>
    </w:p>
    <w:p>
      <w:pPr>
        <w:spacing w:after="80"/>
        <w:ind w:left="360" w:hanging="360"/>
        <w:jc w:val="both"/>
      </w:pPr>
      <w:r>
        <w:rPr>
          <w:rFonts w:ascii="Calibri" w:cs="Calibri" w:eastAsia="Calibri" w:hAnsi="Calibri"/>
          <w:sz w:val="20"/>
          <w:szCs w:val="20"/>
        </w:rPr>
        <w:t xml:space="preserve">[93] Sayegh MA, Danielewicz J, Nannou T, Miniewicz M, Jadwiszczak P, Piekarska K, Jouhara H. Heat pump placement, connection and operational modes in European district heating. Energy Build 2017;145:212–230.</w:t>
      </w:r>
    </w:p>
    <w:p>
      <w:pPr>
        <w:spacing w:after="80"/>
        <w:ind w:left="360" w:hanging="360"/>
        <w:jc w:val="both"/>
      </w:pPr>
      <w:r>
        <w:rPr>
          <w:rFonts w:ascii="Calibri" w:cs="Calibri" w:eastAsia="Calibri" w:hAnsi="Calibri"/>
          <w:sz w:val="20"/>
          <w:szCs w:val="20"/>
        </w:rPr>
        <w:t xml:space="preserve">[94] Lund H, Østergaard PA, Connolly D, Mathiesen BV. Smart energy and smart energy systems. Energy 2017;137:556–565.</w:t>
      </w:r>
    </w:p>
    <w:p>
      <w:pPr>
        <w:spacing w:after="80"/>
        <w:ind w:left="360" w:hanging="360"/>
        <w:jc w:val="both"/>
      </w:pPr>
      <w:r>
        <w:rPr>
          <w:rFonts w:ascii="Calibri" w:cs="Calibri" w:eastAsia="Calibri" w:hAnsi="Calibri"/>
          <w:sz w:val="20"/>
          <w:szCs w:val="20"/>
        </w:rPr>
        <w:t xml:space="preserve">[95] Avgerinou M, Bertoldi P, Castellazzi L. Trends in data centre energy consumption under the European Code of Conduct for Data Centre Energy Efficiency. Energies 2017;10:1470.</w:t>
      </w:r>
    </w:p>
    <w:p>
      <w:pPr>
        <w:spacing w:after="80"/>
        <w:ind w:left="360" w:hanging="360"/>
        <w:jc w:val="both"/>
      </w:pPr>
      <w:r>
        <w:rPr>
          <w:rFonts w:ascii="Calibri" w:cs="Calibri" w:eastAsia="Calibri" w:hAnsi="Calibri"/>
          <w:sz w:val="20"/>
          <w:szCs w:val="20"/>
        </w:rPr>
        <w:t xml:space="preserve">[96] Habibi Khalaj A, Halgamuge SK. A review on efficient thermal management of air- and liquid-cooled data centers. Renew Sustain Energy Rev 2017;72:618–644.</w:t>
      </w:r>
    </w:p>
    <w:p>
      <w:pPr>
        <w:spacing w:after="80"/>
        <w:ind w:left="360" w:hanging="360"/>
        <w:jc w:val="both"/>
      </w:pPr>
      <w:r>
        <w:rPr>
          <w:rFonts w:ascii="Calibri" w:cs="Calibri" w:eastAsia="Calibri" w:hAnsi="Calibri"/>
          <w:sz w:val="20"/>
          <w:szCs w:val="20"/>
        </w:rPr>
        <w:t xml:space="preserve">[97] Daraghmeh HM, Wang CC. A review of current status of free cooling in data centres. Appl Therm Eng 2017;114:1224–1239.</w:t>
      </w:r>
    </w:p>
    <w:p>
      <w:pPr>
        <w:spacing w:after="80"/>
        <w:ind w:left="360" w:hanging="360"/>
        <w:jc w:val="both"/>
      </w:pPr>
      <w:r>
        <w:rPr>
          <w:rFonts w:ascii="Calibri" w:cs="Calibri" w:eastAsia="Calibri" w:hAnsi="Calibri"/>
          <w:sz w:val="20"/>
          <w:szCs w:val="20"/>
        </w:rPr>
        <w:t xml:space="preserve">[98] Bühler F, Müller Holst T, Huang B, Andreasen JG, Elmegaard B. Industrial excess heat for district heating in Denmark. Appl Energy 2017;205:991–1001.</w:t>
      </w:r>
    </w:p>
    <w:p>
      <w:pPr>
        <w:spacing w:after="80"/>
        <w:ind w:left="360" w:hanging="360"/>
        <w:jc w:val="both"/>
      </w:pPr>
      <w:r>
        <w:rPr>
          <w:rFonts w:ascii="Calibri" w:cs="Calibri" w:eastAsia="Calibri" w:hAnsi="Calibri"/>
          <w:sz w:val="20"/>
          <w:szCs w:val="20"/>
        </w:rPr>
        <w:t xml:space="preserve">[99] Wang Z, DeWitt JC, Higgins CP, Cousins IT. A never-ending story of per- and polyfluoroalkyl substances (PFAS)? Environ Sci Technol 2017;51:2508–2518.</w:t>
      </w:r>
    </w:p>
    <w:p>
      <w:pPr>
        <w:spacing w:after="80"/>
        <w:ind w:left="360" w:hanging="360"/>
        <w:jc w:val="both"/>
      </w:pPr>
      <w:r>
        <w:rPr>
          <w:rFonts w:ascii="Calibri" w:cs="Calibri" w:eastAsia="Calibri" w:hAnsi="Calibri"/>
          <w:sz w:val="20"/>
          <w:szCs w:val="20"/>
        </w:rPr>
        <w:t xml:space="preserve">[100] Daeneke T, Khoshmanesh K, Mahmood N, de Castro IA, Esrafilzadeh D, Barrow SJ, Dickey MD, Kalantar-Zadeh K. Liquid metals: fundamentals and applications in chemistry. Chem Soc Rev 2018;47:4073–4111.</w:t>
      </w:r>
    </w:p>
    <w:p>
      <w:pPr>
        <w:spacing w:after="80"/>
        <w:ind w:left="360" w:hanging="360"/>
        <w:jc w:val="both"/>
      </w:pPr>
      <w:r>
        <w:rPr>
          <w:rFonts w:ascii="Calibri" w:cs="Calibri" w:eastAsia="Calibri" w:hAnsi="Calibri"/>
          <w:sz w:val="20"/>
          <w:szCs w:val="20"/>
        </w:rPr>
        <w:t xml:space="preserve">[101] de Vries A. Bitcoin growing energy problem. Joule 2018;2(5):801–805.</w:t>
      </w:r>
    </w:p>
    <w:p>
      <w:pPr>
        <w:spacing w:after="80"/>
        <w:ind w:left="360" w:hanging="360"/>
        <w:jc w:val="both"/>
      </w:pPr>
      <w:r>
        <w:rPr>
          <w:rFonts w:ascii="Calibri" w:cs="Calibri" w:eastAsia="Calibri" w:hAnsi="Calibri"/>
          <w:sz w:val="20"/>
          <w:szCs w:val="20"/>
        </w:rPr>
        <w:t xml:space="preserve">[102] Belkhir L, Elmeligi A. Assessing ICT global emissions footprint: trends to 2040 &amp; recommendations. J Clean Prod 2018;177:448–463.</w:t>
      </w:r>
    </w:p>
    <w:p>
      <w:pPr>
        <w:spacing w:after="80"/>
        <w:ind w:left="360" w:hanging="360"/>
        <w:jc w:val="both"/>
      </w:pPr>
      <w:r>
        <w:rPr>
          <w:rFonts w:ascii="Calibri" w:cs="Calibri" w:eastAsia="Calibri" w:hAnsi="Calibri"/>
          <w:sz w:val="20"/>
          <w:szCs w:val="20"/>
        </w:rPr>
        <w:t xml:space="preserve">[103] Jones N. How to stop data centres from gobbling up the world electricity. Nature 2018;561:163–166.</w:t>
      </w:r>
    </w:p>
    <w:p>
      <w:pPr>
        <w:spacing w:after="80"/>
        <w:ind w:left="360" w:hanging="360"/>
        <w:jc w:val="both"/>
      </w:pPr>
      <w:r>
        <w:rPr>
          <w:rFonts w:ascii="Calibri" w:cs="Calibri" w:eastAsia="Calibri" w:hAnsi="Calibri"/>
          <w:sz w:val="20"/>
          <w:szCs w:val="20"/>
        </w:rPr>
        <w:t xml:space="preserve">[104] Krause MJ, Tolaymat T. Quantification of energy and carbon costs for mining cryptocurrencies. Nat Sustain 2018;1:711–718.</w:t>
      </w:r>
    </w:p>
    <w:p>
      <w:pPr>
        <w:spacing w:after="80"/>
        <w:ind w:left="360" w:hanging="360"/>
        <w:jc w:val="both"/>
      </w:pPr>
      <w:r>
        <w:rPr>
          <w:rFonts w:ascii="Calibri" w:cs="Calibri" w:eastAsia="Calibri" w:hAnsi="Calibri"/>
          <w:sz w:val="20"/>
          <w:szCs w:val="20"/>
        </w:rPr>
        <w:t xml:space="preserve">[105] Pärssinen M, Wahlroos M, Manner J, Syri S. Waste heat from data centers: an investment analysis. Sustain Cities Soc 2019;44:428–444.</w:t>
      </w:r>
    </w:p>
    <w:p>
      <w:pPr>
        <w:spacing w:after="80"/>
        <w:ind w:left="360" w:hanging="360"/>
        <w:jc w:val="both"/>
      </w:pPr>
      <w:r>
        <w:rPr>
          <w:rFonts w:ascii="Calibri" w:cs="Calibri" w:eastAsia="Calibri" w:hAnsi="Calibri"/>
          <w:sz w:val="20"/>
          <w:szCs w:val="20"/>
        </w:rPr>
        <w:t xml:space="preserve">[106] Stoll C, Klaaßen L, Gallersdörfer U. The carbon footprint of Bitcoin. Joule 2019;3(7):1647–1661.</w:t>
      </w:r>
    </w:p>
    <w:p>
      <w:pPr>
        <w:spacing w:after="80"/>
        <w:ind w:left="360" w:hanging="360"/>
        <w:jc w:val="both"/>
      </w:pPr>
      <w:r>
        <w:rPr>
          <w:rFonts w:ascii="Calibri" w:cs="Calibri" w:eastAsia="Calibri" w:hAnsi="Calibri"/>
          <w:sz w:val="20"/>
          <w:szCs w:val="20"/>
        </w:rPr>
        <w:t xml:space="preserve">[107] Strubell E, Ganesh A, McCallum A. Energy and policy considerations for deep learning in NLP. Proc 57th Annual Meeting of ACL; 2019. p. 3645–3650.</w:t>
      </w:r>
    </w:p>
    <w:p>
      <w:pPr>
        <w:spacing w:after="80"/>
        <w:ind w:left="360" w:hanging="360"/>
        <w:jc w:val="both"/>
      </w:pPr>
      <w:r>
        <w:rPr>
          <w:rFonts w:ascii="Calibri" w:cs="Calibri" w:eastAsia="Calibri" w:hAnsi="Calibri"/>
          <w:sz w:val="20"/>
          <w:szCs w:val="20"/>
        </w:rPr>
        <w:t xml:space="preserve">[108] Glüge J, Scheringer M, Cousins IT, et al. An overview of the uses of per- and polyfluoroalkyl substances (PFAS). Environ Sci Process Impacts 2020;22:2345–2373.</w:t>
      </w:r>
    </w:p>
    <w:p>
      <w:pPr>
        <w:spacing w:after="80"/>
        <w:ind w:left="360" w:hanging="360"/>
        <w:jc w:val="both"/>
      </w:pPr>
      <w:r>
        <w:rPr>
          <w:rFonts w:ascii="Calibri" w:cs="Calibri" w:eastAsia="Calibri" w:hAnsi="Calibri"/>
          <w:sz w:val="20"/>
          <w:szCs w:val="20"/>
        </w:rPr>
        <w:t xml:space="preserve">[109] Cousins IT, DeWitt JC, Glüge J, et al. The high persistence of PFAS is sufficient for their management as a chemical class. Environ Sci Process Impacts 2020;22:2307–2312.</w:t>
      </w:r>
    </w:p>
    <w:p>
      <w:pPr>
        <w:spacing w:after="80"/>
        <w:ind w:left="360" w:hanging="360"/>
        <w:jc w:val="both"/>
      </w:pPr>
      <w:r>
        <w:rPr>
          <w:rFonts w:ascii="Calibri" w:cs="Calibri" w:eastAsia="Calibri" w:hAnsi="Calibri"/>
          <w:sz w:val="20"/>
          <w:szCs w:val="20"/>
        </w:rPr>
        <w:t xml:space="preserve">[110] Masanet E, Shehabi A, Lei N, Smith S, Koomey J. Recalibrating global data center energy-use estimates. Science 2020;367(6481):984–986.</w:t>
      </w:r>
    </w:p>
    <w:p>
      <w:pPr>
        <w:spacing w:after="80"/>
        <w:ind w:left="360" w:hanging="360"/>
        <w:jc w:val="both"/>
      </w:pPr>
      <w:r>
        <w:rPr>
          <w:rFonts w:ascii="Calibri" w:cs="Calibri" w:eastAsia="Calibri" w:hAnsi="Calibri"/>
          <w:sz w:val="20"/>
          <w:szCs w:val="20"/>
        </w:rPr>
        <w:t xml:space="preserve">[111] Schwartz R, Dodge J, Smith NA, Etzioni O. Green AI. Commun ACM 2020;63(12):54–63.</w:t>
      </w:r>
    </w:p>
    <w:p>
      <w:pPr>
        <w:spacing w:after="80"/>
        <w:ind w:left="360" w:hanging="360"/>
        <w:jc w:val="both"/>
      </w:pPr>
      <w:r>
        <w:rPr>
          <w:rFonts w:ascii="Calibri" w:cs="Calibri" w:eastAsia="Calibri" w:hAnsi="Calibri"/>
          <w:sz w:val="20"/>
          <w:szCs w:val="20"/>
        </w:rPr>
        <w:t xml:space="preserve">[112] Tang SY, Tabor C, Kalantar-Zadeh K, Dickey MD. Gallium liquid metal: the devil elixir. Annu Rev Mater Res 2021;51:381–408.</w:t>
      </w:r>
    </w:p>
    <w:p>
      <w:pPr>
        <w:spacing w:after="80"/>
        <w:ind w:left="360" w:hanging="360"/>
        <w:jc w:val="both"/>
      </w:pPr>
      <w:r>
        <w:rPr>
          <w:rFonts w:ascii="Calibri" w:cs="Calibri" w:eastAsia="Calibri" w:hAnsi="Calibri"/>
          <w:sz w:val="20"/>
          <w:szCs w:val="20"/>
        </w:rPr>
        <w:t xml:space="preserve">[113] Patterson D, Gonzalez J, Le Q, et al. Carbon emissions and large neural network training. arXiv:2104.10350; 2021.</w:t>
      </w:r>
    </w:p>
    <w:p>
      <w:pPr>
        <w:spacing w:after="80"/>
        <w:ind w:left="360" w:hanging="360"/>
        <w:jc w:val="both"/>
      </w:pPr>
      <w:r>
        <w:rPr>
          <w:rFonts w:ascii="Calibri" w:cs="Calibri" w:eastAsia="Calibri" w:hAnsi="Calibri"/>
          <w:sz w:val="20"/>
          <w:szCs w:val="20"/>
        </w:rPr>
        <w:t xml:space="preserve">[114] Page MJ, McKenzie JE, Bossuyt PM, et al. The PRISMA 2020 statement: an updated guideline for reporting systematic reviews. BMJ 2021;372:n71.</w:t>
      </w:r>
    </w:p>
    <w:p>
      <w:pPr>
        <w:spacing w:after="80"/>
        <w:ind w:left="360" w:hanging="360"/>
        <w:jc w:val="both"/>
      </w:pPr>
      <w:r>
        <w:rPr>
          <w:rFonts w:ascii="Calibri" w:cs="Calibri" w:eastAsia="Calibri" w:hAnsi="Calibri"/>
          <w:sz w:val="20"/>
          <w:szCs w:val="20"/>
        </w:rPr>
        <w:t xml:space="preserve">[115] Luccioni AS, Viguier S, Ligozat AL. Estimating the carbon footprint of BLOOM, a 176B parameter language model. arXiv:2211.02001; 2022.</w:t>
      </w:r>
    </w:p>
    <w:p>
      <w:pPr>
        <w:spacing w:after="80"/>
        <w:ind w:left="360" w:hanging="360"/>
        <w:jc w:val="both"/>
      </w:pPr>
      <w:r>
        <w:rPr>
          <w:rFonts w:ascii="Calibri" w:cs="Calibri" w:eastAsia="Calibri" w:hAnsi="Calibri"/>
          <w:sz w:val="20"/>
          <w:szCs w:val="20"/>
        </w:rPr>
        <w:t xml:space="preserve">[116] de Vries A. The growing energy footprint of artificial intelligence. Joule 2023;7(10):2191–2194.</w:t>
      </w:r>
    </w:p>
    <w:p>
      <w:pPr>
        <w:spacing w:after="80"/>
        <w:ind w:left="360" w:hanging="360"/>
        <w:jc w:val="both"/>
      </w:pPr>
      <w:r>
        <w:rPr>
          <w:rFonts w:ascii="Calibri" w:cs="Calibri" w:eastAsia="Calibri" w:hAnsi="Calibri"/>
          <w:sz w:val="20"/>
          <w:szCs w:val="20"/>
        </w:rPr>
        <w:t xml:space="preserve">[117] Liu J. Advanced Liquid Metal Cooling for Chip, Device and System. Singapore: Springer Nature; 2024.</w:t>
      </w:r>
    </w:p>
    <w:p>
      <w:pPr>
        <w:spacing w:after="80"/>
        <w:ind w:left="360" w:hanging="360"/>
        <w:jc w:val="both"/>
      </w:pPr>
      <w:r>
        <w:rPr>
          <w:rFonts w:ascii="Calibri" w:cs="Calibri" w:eastAsia="Calibri" w:hAnsi="Calibri"/>
          <w:sz w:val="20"/>
          <w:szCs w:val="20"/>
        </w:rPr>
        <w:t xml:space="preserve">[118] Patterson D, Gonzalez J, Hölzle U, et al. The carbon footprint of machine learning training will plateau, then shrink. IEEE Computer 2022;55(7):18–28.</w:t>
      </w:r>
    </w:p>
    <w:p>
      <w:pPr>
        <w:spacing w:after="80"/>
        <w:ind w:left="360" w:hanging="360"/>
        <w:jc w:val="both"/>
      </w:pPr>
      <w:r>
        <w:rPr>
          <w:rFonts w:ascii="Calibri" w:cs="Calibri" w:eastAsia="Calibri" w:hAnsi="Calibri"/>
          <w:sz w:val="20"/>
          <w:szCs w:val="20"/>
        </w:rPr>
        <w:t xml:space="preserve">[119] International Energy Agency. Energy and AI. Paris: IEA; 2025.</w:t>
      </w:r>
    </w:p>
    <w:p>
      <w:pPr>
        <w:spacing w:after="80"/>
        <w:ind w:left="360" w:hanging="360"/>
        <w:jc w:val="both"/>
      </w:pPr>
      <w:r>
        <w:rPr>
          <w:rFonts w:ascii="Calibri" w:cs="Calibri" w:eastAsia="Calibri" w:hAnsi="Calibri"/>
          <w:sz w:val="20"/>
          <w:szCs w:val="20"/>
        </w:rPr>
        <w:t xml:space="preserve">[120] Bustamante M, Lilova K, Navrotsky A, Harvey J-P, Oishi K. Enthalpies of mixing for alloys liquid below room temperature determined by oxidative solution calorimetry. J Therm Anal Calorim 2024;149:4817-4826. https://doi.org/10.1007/s10973-024-13035-5</w:t>
      </w:r>
    </w:p>
    <w:p>
      <w:pPr>
        <w:spacing w:after="80"/>
        <w:ind w:left="360" w:hanging="360"/>
        <w:jc w:val="both"/>
      </w:pPr>
      <w:r>
        <w:rPr>
          <w:rFonts w:ascii="Calibri" w:cs="Calibri" w:eastAsia="Calibri" w:hAnsi="Calibri"/>
          <w:sz w:val="20"/>
          <w:szCs w:val="20"/>
        </w:rPr>
        <w:t xml:space="preserve">[121] Bundesnetzagentur. Monitoringbericht 2024 – Strom und Gas (German). Bonn: BNetzA; 2024. [Consulted for German grid intensity and EnEfG implementation context.]</w:t>
      </w:r>
    </w:p>
    <w:p>
      <w:pPr>
        <w:spacing w:after="80"/>
        <w:ind w:left="360" w:hanging="360"/>
        <w:jc w:val="both"/>
      </w:pPr>
      <w:r>
        <w:rPr>
          <w:rFonts w:ascii="Calibri" w:cs="Calibri" w:eastAsia="Calibri" w:hAnsi="Calibri"/>
          <w:sz w:val="20"/>
          <w:szCs w:val="20"/>
        </w:rPr>
        <w:t xml:space="preserve">[122] Umweltbundesamt. CO₂-Emissionen pro Kilowattstunde Strom: Bilanz 2024 (German). Dessau-Roßlau: UBA; 2024. [German electricity emissions intensity used in Section 4.2.2.]</w:t>
      </w:r>
    </w:p>
    <w:p>
      <w:pPr>
        <w:spacing w:after="80"/>
        <w:ind w:left="360" w:hanging="360"/>
        <w:jc w:val="both"/>
      </w:pPr>
      <w:r>
        <w:rPr>
          <w:rFonts w:ascii="Calibri" w:cs="Calibri" w:eastAsia="Calibri" w:hAnsi="Calibri"/>
          <w:sz w:val="20"/>
          <w:szCs w:val="20"/>
        </w:rPr>
        <w:t xml:space="preserve">[123] Energimyndigheten. Energiläget 2024 (Swedish). Eskilstuna: Swedish Energy Agency; 2024. [Swedish district-heating mix and fuel decomposition.]</w:t>
      </w:r>
    </w:p>
    <w:p>
      <w:pPr>
        <w:spacing w:after="80"/>
        <w:ind w:left="360" w:hanging="360"/>
        <w:jc w:val="both"/>
      </w:pPr>
      <w:r>
        <w:rPr>
          <w:rFonts w:ascii="Calibri" w:cs="Calibri" w:eastAsia="Calibri" w:hAnsi="Calibri"/>
          <w:sz w:val="20"/>
          <w:szCs w:val="20"/>
        </w:rPr>
        <w:t xml:space="preserve">[124] Tilastokeskus. Energy in Finland 2024 (Finnish/English). Helsinki: Statistics Finland; 2024. [Finnish DH coverage and grid intensity inputs.]</w:t>
      </w:r>
    </w:p>
    <w:p>
      <w:pPr>
        <w:spacing w:after="80"/>
        <w:ind w:left="360" w:hanging="360"/>
        <w:jc w:val="both"/>
      </w:pPr>
      <w:r>
        <w:rPr>
          <w:rFonts w:ascii="Calibri" w:cs="Calibri" w:eastAsia="Calibri" w:hAnsi="Calibri"/>
          <w:sz w:val="20"/>
          <w:szCs w:val="20"/>
        </w:rPr>
        <w:t xml:space="preserve">[125] Lukas HL, Fries SG, Sundman B. Computational Thermodynamics: The CALPHAD Method. Cambridge University Press; 2007.</w:t>
      </w:r>
    </w:p>
    <w:p>
      <w:pPr>
        <w:spacing w:after="80"/>
        <w:ind w:left="360" w:hanging="360"/>
        <w:jc w:val="both"/>
      </w:pPr>
      <w:r>
        <w:rPr>
          <w:rFonts w:ascii="Calibri" w:cs="Calibri" w:eastAsia="Calibri" w:hAnsi="Calibri"/>
          <w:sz w:val="20"/>
          <w:szCs w:val="20"/>
        </w:rPr>
        <w:t xml:space="preserve">[126] Otis R, Liu Z-K. pycalphad: CALPHAD-based computational thermodynamics in Python. J Open Res Software 2017;5(1):1.</w:t>
      </w:r>
    </w:p>
    <w:p>
      <w:pPr>
        <w:spacing w:after="80"/>
        <w:ind w:left="360" w:hanging="360"/>
        <w:jc w:val="both"/>
      </w:pPr>
      <w:r>
        <w:rPr>
          <w:rFonts w:ascii="Calibri" w:cs="Calibri" w:eastAsia="Calibri" w:hAnsi="Calibri"/>
          <w:sz w:val="20"/>
          <w:szCs w:val="20"/>
        </w:rPr>
        <w:t xml:space="preserve">[127] China Academy of Information and Communications Technology (CAICT). Green and high-quality data centre development white paper 2024 (Chinese). Beijing: CAICT; 2024.</w:t>
      </w:r>
    </w:p>
    <w:p>
      <w:pPr>
        <w:spacing w:after="80"/>
        <w:ind w:left="360" w:hanging="360"/>
        <w:jc w:val="both"/>
      </w:pPr>
      <w:r>
        <w:rPr>
          <w:rFonts w:ascii="Calibri" w:cs="Calibri" w:eastAsia="Calibri" w:hAnsi="Calibri"/>
          <w:sz w:val="20"/>
          <w:szCs w:val="20"/>
        </w:rPr>
        <w:t xml:space="preserve">[128] Tan FL, Tso CP. Cooling of mobile electronic devices using phase change materials. Appl Therm Eng 2004;24(2-3):159-169.</w:t>
      </w:r>
    </w:p>
    <w:p>
      <w:pPr>
        <w:spacing w:after="80"/>
        <w:ind w:left="360" w:hanging="360"/>
        <w:jc w:val="both"/>
      </w:pPr>
      <w:r>
        <w:rPr>
          <w:rFonts w:ascii="Calibri" w:cs="Calibri" w:eastAsia="Calibri" w:hAnsi="Calibri"/>
          <w:sz w:val="20"/>
          <w:szCs w:val="20"/>
        </w:rPr>
        <w:t xml:space="preserve">[129] Krishnan S, Garimella SV, Kang SS. A novel hybrid heat sink using phase change materials for transient thermal management of electronics. IEEE Trans Compon Packag Technol 2005;28(2):281-289.</w:t>
      </w:r>
    </w:p>
    <w:p>
      <w:pPr>
        <w:spacing w:after="80"/>
        <w:ind w:left="360" w:hanging="360"/>
        <w:jc w:val="both"/>
      </w:pPr>
      <w:r>
        <w:rPr>
          <w:rFonts w:ascii="Calibri" w:cs="Calibri" w:eastAsia="Calibri" w:hAnsi="Calibri"/>
          <w:sz w:val="20"/>
          <w:szCs w:val="20"/>
        </w:rPr>
        <w:t xml:space="preserve">[130] Kandasamy R, Wang XQ, Mujumdar AS. Transient cooling of electronics using phase change material (PCM)-based heat sinks. Appl Therm Eng 2008;28(8-9):1047-1057.</w:t>
      </w:r>
    </w:p>
    <w:p>
      <w:pPr>
        <w:spacing w:after="80"/>
        <w:ind w:left="360" w:hanging="360"/>
        <w:jc w:val="both"/>
      </w:pPr>
      <w:r>
        <w:rPr>
          <w:rFonts w:ascii="Calibri" w:cs="Calibri" w:eastAsia="Calibri" w:hAnsi="Calibri"/>
          <w:sz w:val="20"/>
          <w:szCs w:val="20"/>
        </w:rPr>
        <w:t xml:space="preserve">[131] Miner A, Ghoshal U. Cooling of high-power-density microdevices using liquid metal coolants. Appl Phys Lett 2004;85(3):506-508.</w:t>
      </w:r>
    </w:p>
    <w:p>
      <w:pPr>
        <w:spacing w:after="80"/>
        <w:ind w:left="360" w:hanging="360"/>
        <w:jc w:val="both"/>
      </w:pPr>
      <w:r>
        <w:rPr>
          <w:rFonts w:ascii="Calibri" w:cs="Calibri" w:eastAsia="Calibri" w:hAnsi="Calibri"/>
          <w:sz w:val="20"/>
          <w:szCs w:val="20"/>
        </w:rPr>
        <w:t xml:space="preserve">[132] Thome JR. Boiling in microchannels: a review of experiment and theory. Int J Heat Fluid Flow 2004;25(2):128-139.</w:t>
      </w:r>
    </w:p>
    <w:p>
      <w:pPr>
        <w:spacing w:after="80"/>
        <w:ind w:left="360" w:hanging="360"/>
        <w:jc w:val="both"/>
      </w:pPr>
      <w:r>
        <w:rPr>
          <w:rFonts w:ascii="Calibri" w:cs="Calibri" w:eastAsia="Calibri" w:hAnsi="Calibri"/>
          <w:sz w:val="20"/>
          <w:szCs w:val="20"/>
        </w:rPr>
        <w:t xml:space="preserve">[133] Tuma PE. The merits of open bath immersion cooling of datacom equipment. Proc 26th IEEE SEMI-THERM Symposium; 2010. p. 123-131.</w:t>
      </w:r>
    </w:p>
    <w:p>
      <w:pPr>
        <w:spacing w:after="80"/>
        <w:ind w:left="360" w:hanging="360"/>
        <w:jc w:val="both"/>
      </w:pPr>
      <w:r>
        <w:rPr>
          <w:rFonts w:ascii="Calibri" w:cs="Calibri" w:eastAsia="Calibri" w:hAnsi="Calibri"/>
          <w:sz w:val="20"/>
          <w:szCs w:val="20"/>
        </w:rPr>
        <w:t xml:space="preserve">[134] Kandlikar SG, Bapat AV. Evaluation of jet impingement, spray and microchannel chip cooling options for high heat flux removal. Heat Transf Eng 2007;28(11):911-923.</w:t>
      </w:r>
    </w:p>
    <w:p>
      <w:pPr>
        <w:spacing w:after="80"/>
        <w:ind w:left="360" w:hanging="360"/>
        <w:jc w:val="both"/>
      </w:pPr>
      <w:r>
        <w:rPr>
          <w:rFonts w:ascii="Calibri" w:cs="Calibri" w:eastAsia="Calibri" w:hAnsi="Calibri"/>
          <w:sz w:val="20"/>
          <w:szCs w:val="20"/>
        </w:rPr>
        <w:t xml:space="preserve">[135] Oró E, Depoorter V, Garcia A, Salom J. Energy efficiency and renewable energy integration in data centres. Strategies and modelling review. Renew Sustain Energy Rev 2015;42:429-445.</w:t>
      </w:r>
    </w:p>
    <w:p>
      <w:pPr>
        <w:spacing w:after="80"/>
        <w:ind w:left="360" w:hanging="360"/>
        <w:jc w:val="both"/>
      </w:pPr>
      <w:r>
        <w:rPr>
          <w:rFonts w:ascii="Calibri" w:cs="Calibri" w:eastAsia="Calibri" w:hAnsi="Calibri"/>
          <w:sz w:val="20"/>
          <w:szCs w:val="20"/>
        </w:rPr>
        <w:t xml:space="preserve">[136] Ellsworth MJ Jr, Goth GF, Zoodsma RJ, Arvelo AR, Campbell LA, Anderl WJ. An overview of the IBM Power 775 supercomputer water cooling system. J Electron Packag 2012;134(2):020906.</w:t>
      </w:r>
    </w:p>
    <w:p>
      <w:pPr>
        <w:spacing w:after="80"/>
        <w:ind w:left="360" w:hanging="360"/>
        <w:jc w:val="both"/>
      </w:pPr>
      <w:r>
        <w:rPr>
          <w:rFonts w:ascii="Calibri" w:cs="Calibri" w:eastAsia="Calibri" w:hAnsi="Calibri"/>
          <w:sz w:val="20"/>
          <w:szCs w:val="20"/>
        </w:rPr>
        <w:t xml:space="preserve">[137] Anderson TJ, Ansara I. The Ga-In (Gallium-Indium) system. J Phase Equilibria 1991;12(1):64-72. (foundational Ga-In CALPHAD assessment.)</w:t>
      </w:r>
    </w:p>
    <w:p>
      <w:pPr>
        <w:spacing w:after="80"/>
        <w:ind w:left="360" w:hanging="360"/>
        <w:jc w:val="both"/>
      </w:pPr>
      <w:r>
        <w:rPr>
          <w:rFonts w:ascii="Calibri" w:cs="Calibri" w:eastAsia="Calibri" w:hAnsi="Calibri"/>
          <w:sz w:val="20"/>
          <w:szCs w:val="20"/>
        </w:rPr>
        <w:t xml:space="preserve">[138] Kulawik S, Gierlotka W, Debski A, Gasior W, Zajaczkowski A. Calorimetric and phase diagram studies of the Ga-In-Zn system. J Mol Liq 2021;325:115114.</w:t>
      </w:r>
    </w:p>
    <w:p>
      <w:pPr>
        <w:spacing w:after="80"/>
        <w:ind w:left="360" w:hanging="360"/>
        <w:jc w:val="both"/>
      </w:pPr>
      <w:r>
        <w:rPr>
          <w:rFonts w:ascii="Calibri" w:cs="Calibri" w:eastAsia="Calibri" w:hAnsi="Calibri"/>
          <w:sz w:val="20"/>
          <w:szCs w:val="20"/>
        </w:rPr>
        <w:t xml:space="preserve">[139] Gomidzelovic L, Zivkovic D, Kostov A, Mitovski A, Balanovic L. Comparative thermodynamic study of Ga-In-Sb system. J Therm Anal Calorim 2011;103(3):1105-1109.</w:t>
      </w:r>
    </w:p>
    <w:p>
      <w:pPr>
        <w:spacing w:after="80"/>
        <w:ind w:left="360" w:hanging="360"/>
        <w:jc w:val="both"/>
      </w:pPr>
      <w:r>
        <w:rPr>
          <w:rFonts w:ascii="Calibri" w:cs="Calibri" w:eastAsia="Calibri" w:hAnsi="Calibri"/>
          <w:sz w:val="20"/>
          <w:szCs w:val="20"/>
        </w:rPr>
        <w:t xml:space="preserve">[140] Yu Q, Ahmad AS, Stahl K, et al. Pressure-induced structural change in liquid GaIn eutectic alloy. Sci Rep 2017;7(1):1139. https://doi.org/10.1038/s41598-017-01233-1</w:t>
      </w:r>
    </w:p>
    <w:p>
      <w:pPr>
        <w:spacing w:after="80"/>
        <w:ind w:left="360" w:hanging="360"/>
        <w:jc w:val="both"/>
      </w:pPr>
      <w:r>
        <w:rPr>
          <w:rFonts w:ascii="Calibri" w:cs="Calibri" w:eastAsia="Calibri" w:hAnsi="Calibri"/>
          <w:sz w:val="20"/>
          <w:szCs w:val="20"/>
        </w:rPr>
        <w:t xml:space="preserve">[141] Koh A, Hwang W, Zavalij PY, Chun S, Slipher G, Mrozek R. Solidification and melting phase change behavior of eutectic Gallium-Indium-Tin. Materialia 2019;8:100512. https://doi.org/10.1016/j.mtla.2019.100512</w:t>
      </w:r>
    </w:p>
    <w:p>
      <w:pPr>
        <w:spacing w:after="80"/>
        <w:ind w:left="360" w:hanging="360"/>
        <w:jc w:val="both"/>
      </w:pPr>
      <w:r>
        <w:rPr>
          <w:rFonts w:ascii="Calibri" w:cs="Calibri" w:eastAsia="Calibri" w:hAnsi="Calibri"/>
          <w:sz w:val="20"/>
          <w:szCs w:val="20"/>
        </w:rPr>
        <w:t xml:space="preserve">[142] Shamberger PJ, Bruno NM. Review of metallic phase change materials for high heat flux transient thermal management applications. Appl Energy 2020;258:113955. https://doi.org/10.1016/j.apenergy.2019.113955</w:t>
      </w:r>
    </w:p>
    <w:p>
      <w:pPr>
        <w:pStyle w:val="Heading1"/>
        <w:spacing w:after="160" w:before="320"/>
      </w:pPr>
      <w:r>
        <w:rPr>
          <w:rFonts w:ascii="Calibri" w:cs="Calibri" w:eastAsia="Calibri" w:hAnsi="Calibri"/>
          <w:b/>
          <w:bCs/>
          <w:sz w:val="28"/>
          <w:szCs w:val="28"/>
        </w:rPr>
        <w:t xml:space="preserve">Supplementary Material</w:t>
      </w:r>
    </w:p>
    <w:p>
      <w:pPr>
        <w:spacing w:after="120" w:line="300"/>
        <w:jc w:val="both"/>
      </w:pPr>
      <w:r>
        <w:rPr>
          <w:rFonts w:ascii="Calibri" w:cs="Calibri" w:eastAsia="Calibri" w:hAnsi="Calibri"/>
          <w:sz w:val="22"/>
          <w:szCs w:val="22"/>
        </w:rPr>
        <w:t xml:space="preserve">Cooling_V4_Supplementary_Material.docx (carried forward unchanged) contains: S1 PRISMA-compatible flow diagram (Figure S1) [114]; S2 Sensitivity of Carnot calculations to T₀; S3 Breakeven derivation for Section 4.2.2; S4 Cold-plate parallel case-study assumptions for Section 4.2.3; S5 Demand-response and grid-integration analysis (ERCOT 226 GW large-load queue, Riot Platforms 700 MW August 2023 curtailment, USD 31.7 M earned).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4"/>
      <w:szCs w:val="24"/>
    </w:rPr>
  </w:style>
  <w:style w:type="paragraph" w:styleId="Heading3">
    <w:name w:val="Heading 3"/>
    <w:basedOn w:val="Normal"/>
    <w:next w:val="Normal"/>
    <w:qFormat/>
    <w:pPr>
      <w:spacing w:after="100" w:before="200"/>
      <w:outlineLvl w:val="2"/>
    </w:pPr>
    <w:rPr>
      <w:rFonts w:ascii="Calibri" w:cs="Calibri" w:eastAsia="Calibri" w:hAnsi="Calibri"/>
      <w:b/>
      <w:bCs/>
      <w:i/>
      <w:i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9712fcd45c60b0152d9d7cea944396efa2dc2f.jpg"/><Relationship Id="rId8" Type="http://schemas.openxmlformats.org/officeDocument/2006/relationships/image" Target="media/8da73fe0cac41308e622473710a0478619ffc75f.jpg"/><Relationship Id="rId9" Type="http://schemas.openxmlformats.org/officeDocument/2006/relationships/image" Target="media/be8bb6098e6817df6343eac61f1100de100b686e.jpg"/><Relationship Id="rId10" Type="http://schemas.openxmlformats.org/officeDocument/2006/relationships/image" Target="media/1c32e6962750d7c514ccea61454d5d64704bda04.jpg"/><Relationship Id="rId11" Type="http://schemas.openxmlformats.org/officeDocument/2006/relationships/image" Target="media/9a8d9c61dd6221917460d7e31fa94319e26a48c7.jpg"/><Relationship Id="rId12" Type="http://schemas.openxmlformats.org/officeDocument/2006/relationships/image" Target="media/8cd27fe920384b0c4d78cdc076e4477fea88b22d.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Cooling Materials V11 — RSER Resubmission</dc:title>
  <dc:creator>Michael E. Bustamante</dc:creator>
  <cp:lastModifiedBy>Un-named</cp:lastModifiedBy>
  <cp:revision>1</cp:revision>
  <dcterms:created xsi:type="dcterms:W3CDTF">2026-05-14T21:35:19.371Z</dcterms:created>
  <dcterms:modified xsi:type="dcterms:W3CDTF">2026-05-14T21:35:19.372Z</dcterms:modified>
</cp:coreProperties>
</file>

<file path=docProps/custom.xml><?xml version="1.0" encoding="utf-8"?>
<Properties xmlns="http://schemas.openxmlformats.org/officeDocument/2006/custom-properties" xmlns:vt="http://schemas.openxmlformats.org/officeDocument/2006/docPropsVTypes"/>
</file>