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Calibri" w:cs="Calibri" w:eastAsia="Calibri" w:hAnsi="Calibri"/>
          <w:b/>
          <w:bCs/>
          <w:sz w:val="22"/>
          <w:szCs w:val="22"/>
        </w:rPr>
        <w:t xml:space="preserve">Michael E. Bustamante</w:t>
      </w:r>
    </w:p>
    <w:p>
      <w:pPr>
        <w:spacing w:after="80"/>
        <w:jc w:val="right"/>
      </w:pPr>
      <w:r>
        <w:rPr>
          <w:rFonts w:ascii="Calibri" w:cs="Calibri" w:eastAsia="Calibri" w:hAnsi="Calibri"/>
          <w:b w:val="false"/>
          <w:bCs w:val="false"/>
          <w:sz w:val="22"/>
          <w:szCs w:val="22"/>
        </w:rPr>
        <w:t xml:space="preserve">Odinzen LLC</w:t>
      </w:r>
    </w:p>
    <w:p>
      <w:pPr>
        <w:spacing w:after="80"/>
        <w:jc w:val="right"/>
      </w:pPr>
      <w:r>
        <w:rPr>
          <w:rFonts w:ascii="Calibri" w:cs="Calibri" w:eastAsia="Calibri" w:hAnsi="Calibri"/>
          <w:b w:val="false"/>
          <w:bCs w:val="false"/>
          <w:sz w:val="22"/>
          <w:szCs w:val="22"/>
        </w:rPr>
        <w:t xml:space="preserve">Houston, TX, United States</w:t>
      </w:r>
    </w:p>
    <w:p>
      <w:pPr>
        <w:spacing w:after="80"/>
        <w:jc w:val="right"/>
      </w:pPr>
      <w:r>
        <w:rPr>
          <w:rFonts w:ascii="Calibri" w:cs="Calibri" w:eastAsia="Calibri" w:hAnsi="Calibri"/>
          <w:b w:val="false"/>
          <w:bCs w:val="false"/>
          <w:sz w:val="22"/>
          <w:szCs w:val="22"/>
        </w:rPr>
        <w:t xml:space="preserve">michaelbusta@odinzen.io</w:t>
      </w:r>
    </w:p>
    <w:p>
      <w:pPr>
        <w:spacing w:after="80"/>
        <w:jc w:val="right"/>
      </w:pPr>
      <w:r>
        <w:rPr>
          <w:rFonts w:ascii="Calibri" w:cs="Calibri" w:eastAsia="Calibri" w:hAnsi="Calibri"/>
          <w:b w:val="false"/>
          <w:bCs w:val="false"/>
          <w:sz w:val="22"/>
          <w:szCs w:val="22"/>
        </w:rPr>
        <w:t xml:space="preserve">ORCID: 0009-0009-9001-8151</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sz w:val="22"/>
          <w:szCs w:val="22"/>
        </w:rPr>
        <w:t xml:space="preserve">14 May 2026</w:t>
      </w:r>
    </w:p>
    <w:p>
      <w:pPr>
        <w:spacing w:after="120" w:line="320"/>
        <w:jc w:val="left"/>
      </w:pPr>
      <w:r>
        <w:rPr>
          <w:rFonts w:ascii="Calibri" w:cs="Calibri" w:eastAsia="Calibri" w:hAnsi="Calibri"/>
          <w:sz w:val="22"/>
          <w:szCs w:val="22"/>
        </w:rPr>
        <w:t xml:space="preserve"> </w:t>
      </w:r>
    </w:p>
    <w:p>
      <w:pPr>
        <w:spacing w:after="80"/>
      </w:pPr>
      <w:r>
        <w:rPr>
          <w:rFonts w:ascii="Calibri" w:cs="Calibri" w:eastAsia="Calibri" w:hAnsi="Calibri"/>
          <w:b/>
          <w:bCs/>
          <w:sz w:val="22"/>
          <w:szCs w:val="22"/>
        </w:rPr>
        <w:t xml:space="preserve">Prof. Soteris Kalogirou, DSc</w:t>
      </w:r>
    </w:p>
    <w:p>
      <w:pPr>
        <w:spacing w:after="120" w:line="320"/>
        <w:jc w:val="left"/>
      </w:pPr>
      <w:r>
        <w:rPr>
          <w:rFonts w:ascii="Calibri" w:cs="Calibri" w:eastAsia="Calibri" w:hAnsi="Calibri"/>
          <w:sz w:val="22"/>
          <w:szCs w:val="22"/>
        </w:rPr>
        <w:t xml:space="preserve">Editor-in-Chief</w:t>
      </w:r>
    </w:p>
    <w:p>
      <w:pPr>
        <w:spacing w:after="120" w:line="320"/>
        <w:jc w:val="left"/>
      </w:pPr>
      <w:r>
        <w:rPr>
          <w:rFonts w:ascii="Calibri" w:cs="Calibri" w:eastAsia="Calibri" w:hAnsi="Calibri"/>
          <w:sz w:val="22"/>
          <w:szCs w:val="22"/>
        </w:rPr>
        <w:t xml:space="preserve">Renewable and Sustainable Energy Reviews</w:t>
      </w:r>
    </w:p>
    <w:p>
      <w:pPr>
        <w:spacing w:after="120" w:line="320"/>
        <w:jc w:val="left"/>
      </w:pPr>
      <w:r>
        <w:rPr>
          <w:rFonts w:ascii="Calibri" w:cs="Calibri" w:eastAsia="Calibri" w:hAnsi="Calibri"/>
          <w:sz w:val="22"/>
          <w:szCs w:val="22"/>
        </w:rPr>
        <w:t xml:space="preserve">Elsevier</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b w:val="false"/>
          <w:bCs w:val="false"/>
          <w:i/>
          <w:iCs/>
          <w:sz w:val="22"/>
          <w:szCs w:val="22"/>
        </w:rPr>
        <w:t xml:space="preserve">Re: Resubmission of manuscript </w:t>
      </w:r>
      <w:r>
        <w:rPr>
          <w:rFonts w:ascii="Calibri" w:cs="Calibri" w:eastAsia="Calibri" w:hAnsi="Calibri"/>
          <w:b/>
          <w:bCs/>
          <w:i/>
          <w:iCs/>
          <w:sz w:val="22"/>
          <w:szCs w:val="22"/>
        </w:rPr>
        <w:t xml:space="preserve">RSER-D-26-03352</w:t>
      </w:r>
      <w:r>
        <w:rPr>
          <w:rFonts w:ascii="Calibri" w:cs="Calibri" w:eastAsia="Calibri" w:hAnsi="Calibri"/>
          <w:b w:val="false"/>
          <w:bCs w:val="false"/>
          <w:i/>
          <w:iCs/>
          <w:sz w:val="22"/>
          <w:szCs w:val="22"/>
        </w:rPr>
        <w:t xml:space="preserve"> (Version 11) — "Cooling Materials for Sustainable Compute Waste-Heat Recovery: A Three-Generation Review of Dielectric Fluids, Gallium-Based Liquid Metals, and Embedded Two-Phase Systems"</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sz w:val="22"/>
          <w:szCs w:val="22"/>
        </w:rPr>
        <w:t xml:space="preserve">Dear Prof. Kalogirou,</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sz w:val="22"/>
          <w:szCs w:val="22"/>
        </w:rPr>
        <w:t xml:space="preserve">Thank you for your decision letter of 12 May 2026 on the above manuscript and your invitation to resubmit if the work can be brought into alignment with RSER standards. The present V11 resubmission addresses each of the rejection grounds substantively. Six numbered improvements:</w:t>
      </w:r>
    </w:p>
    <w:p>
      <w:pPr>
        <w:spacing w:after="120" w:line="320"/>
        <w:jc w:val="left"/>
      </w:pPr>
      <w:r>
        <w:rPr>
          <w:rFonts w:ascii="Calibri" w:cs="Calibri" w:eastAsia="Calibri" w:hAnsi="Calibri"/>
          <w:b/>
          <w:bCs/>
          <w:i w:val="false"/>
          <w:iCs w:val="false"/>
          <w:sz w:val="22"/>
          <w:szCs w:val="22"/>
        </w:rPr>
        <w:t xml:space="preserve">1. Bibliographic depth (RSER 100–300 expected). </w:t>
      </w:r>
      <w:r>
        <w:rPr>
          <w:rFonts w:ascii="Calibri" w:cs="Calibri" w:eastAsia="Calibri" w:hAnsi="Calibri"/>
          <w:b w:val="false"/>
          <w:bCs w:val="false"/>
          <w:i w:val="false"/>
          <w:iCs w:val="false"/>
          <w:sz w:val="22"/>
          <w:szCs w:val="22"/>
        </w:rPr>
        <w:t xml:space="preserve">The reference list now contains 145 entries, deliberately balanced across four decades (Table 2 era distribution): 3 pre-2000 foundational; ~10 from 2000–2010; ~12 from 2011–2015; ~30 from 2016–2020; ~16 from 2021–2023; and ~50 in the 2024–2026 currency block. Citations are integrated into argument-driven sections rather than appended as a literature catalogue. The bibliography draws from both the system-side RSER review tradition (Wahlroos 2018, Yuan 2023/2025, Tervo 2025, Huang 2020, Pärssinen 2019) and the materials-side electronics-cooling literature (Daraghmeh 2017, Habibi Khalaj 2017, Hodes 2014, Daeneke 2018, Tang 2021, the Liu monograph 2024).</w:t>
      </w:r>
    </w:p>
    <w:p>
      <w:pPr>
        <w:spacing w:after="120" w:line="320"/>
        <w:jc w:val="left"/>
      </w:pPr>
      <w:r>
        <w:rPr>
          <w:rFonts w:ascii="Calibri" w:cs="Calibri" w:eastAsia="Calibri" w:hAnsi="Calibri"/>
          <w:b/>
          <w:bCs/>
          <w:i w:val="false"/>
          <w:iCs w:val="false"/>
          <w:sz w:val="22"/>
          <w:szCs w:val="22"/>
        </w:rPr>
        <w:t xml:space="preserve">2. Multi-language and chronological coverage. </w:t>
      </w:r>
      <w:r>
        <w:rPr>
          <w:rFonts w:ascii="Calibri" w:cs="Calibri" w:eastAsia="Calibri" w:hAnsi="Calibri"/>
          <w:b w:val="false"/>
          <w:bCs w:val="false"/>
          <w:i w:val="false"/>
          <w:iCs w:val="false"/>
          <w:sz w:val="22"/>
          <w:szCs w:val="22"/>
        </w:rPr>
        <w:t xml:space="preserve">Section 1.1.4 documents native-language searches in Chinese, German, Swedish, Finnish, and Japanese (CNKI, Wanfang, J-STAGE, SwePub queried). Five load-bearing non-English official-statistics sources are cited (Bundesnetzagentur, Umweltbundesamt, Energimyndigheten, Statistics Finland, CAICT).</w:t>
      </w:r>
    </w:p>
    <w:p>
      <w:pPr>
        <w:spacing w:after="120" w:line="320"/>
        <w:jc w:val="left"/>
      </w:pPr>
      <w:r>
        <w:rPr>
          <w:rFonts w:ascii="Calibri" w:cs="Calibri" w:eastAsia="Calibri" w:hAnsi="Calibri"/>
          <w:b/>
          <w:bCs/>
          <w:i w:val="false"/>
          <w:iCs w:val="false"/>
          <w:sz w:val="22"/>
          <w:szCs w:val="22"/>
        </w:rPr>
        <w:t xml:space="preserve">3. Critical-synthesis depth (not literature catalogue). </w:t>
      </w:r>
      <w:r>
        <w:rPr>
          <w:rFonts w:ascii="Calibri" w:cs="Calibri" w:eastAsia="Calibri" w:hAnsi="Calibri"/>
          <w:b w:val="false"/>
          <w:bCs w:val="false"/>
          <w:i w:val="false"/>
          <w:iCs w:val="false"/>
          <w:sz w:val="22"/>
          <w:szCs w:val="22"/>
        </w:rPr>
        <w:t xml:space="preserve">Section 1.1.1 explicitly positions the manuscript against each prior published review. The materials-design contribution is anchored by an original Carnot exergy framework (Section 2 + Figure 2 with overlay + Table 3) and an original lifecycle CO₂ breakeven analysis (Section 4.2 + Tables 4–7) that derives the local grid-intensity threshold below which compute waste-heat recovery is net-positive on CO₂.</w:t>
      </w:r>
    </w:p>
    <w:p>
      <w:pPr>
        <w:spacing w:after="120" w:line="320"/>
        <w:jc w:val="left"/>
      </w:pPr>
      <w:r>
        <w:rPr>
          <w:rFonts w:ascii="Calibri" w:cs="Calibri" w:eastAsia="Calibri" w:hAnsi="Calibri"/>
          <w:b/>
          <w:bCs/>
          <w:i w:val="false"/>
          <w:iCs w:val="false"/>
          <w:sz w:val="22"/>
          <w:szCs w:val="22"/>
        </w:rPr>
        <w:t xml:space="preserve">4. Materials-design rigour, V11 focus. </w:t>
      </w:r>
      <w:r>
        <w:rPr>
          <w:rFonts w:ascii="Calibri" w:cs="Calibri" w:eastAsia="Calibri" w:hAnsi="Calibri"/>
          <w:b w:val="false"/>
          <w:bCs w:val="false"/>
          <w:i w:val="false"/>
          <w:iCs w:val="false"/>
          <w:sz w:val="22"/>
          <w:szCs w:val="22"/>
        </w:rPr>
        <w:t xml:space="preserve">Section 5.1 is now anchored in seven peer-reviewed published assessments of the Ga-In, Ga-In-Sn, Ga-In-Sb, Ga-In-Zn, GaInSn-eutectic phase-change, and metallic-PCM thermal-management literature: Anderson and Ansara (J Phase Equilibria 1991) for the foundational Ga-In CALPHAD assessment [137]; Kulawik et al. (J Mol Liq 2021) for Ga-In-Zn calorimetry [138]; Gomidzelovic et al. (J Therm Anal Calorim 2011) for Ga-In-Sb [139]; Yu et al. (Sci Rep 2017) for pressure-induced structural change in liquid GaIn eutectic [140]; Koh et al. (Materialia 2019) for the engineering-relevant solidification and melting behaviour of eutectic GaInSn [141]; and Shamberger and Bruno (Appl Energy 2020) for the metallic-PCM thermal-management envelope [142]. The corresponding-author prior peer-reviewed work on oxidative solution calorimetry of Ga-In-Sn and Ga-In-Sn-Zn liquid eutectics (Bustamante, Lilova, Navrotsky, Harvey, Oishi; J Therm Anal Calorim 2024;149:4817–4826) provides the experimental thermodynamic anchor on which Galinstan-specific thermodynamic-database curation can build [120].</w:t>
      </w:r>
    </w:p>
    <w:p>
      <w:pPr>
        <w:spacing w:after="120" w:line="320"/>
        <w:jc w:val="left"/>
      </w:pPr>
      <w:r>
        <w:rPr>
          <w:rFonts w:ascii="Calibri" w:cs="Calibri" w:eastAsia="Calibri" w:hAnsi="Calibri"/>
          <w:b/>
          <w:bCs/>
          <w:i w:val="false"/>
          <w:iCs w:val="false"/>
          <w:sz w:val="22"/>
          <w:szCs w:val="22"/>
        </w:rPr>
        <w:t xml:space="preserve">5. Style and scope alignment with RSER. </w:t>
      </w:r>
      <w:r>
        <w:rPr>
          <w:rFonts w:ascii="Calibri" w:cs="Calibri" w:eastAsia="Calibri" w:hAnsi="Calibri"/>
          <w:b w:val="false"/>
          <w:bCs w:val="false"/>
          <w:i w:val="false"/>
          <w:iCs w:val="false"/>
          <w:sz w:val="22"/>
          <w:szCs w:val="22"/>
        </w:rPr>
        <w:t xml:space="preserve">The manuscript body is now 15,379 words (within RSER review-article range), British English throughout, Vancouver-numbered references, with seven keywords (RSER convention), full Nomenclature section, Limitations of this review subsection (1.1.5), and PRISMA 2020-compatible methodology. The abstract and introduction foreground the AI-data-centre energy trajectory as the principal sustainability driver, with Bitcoin mining properly framed as the smaller energy component and the leading source of operational heat-reuse evidence.</w:t>
      </w:r>
    </w:p>
    <w:p>
      <w:pPr>
        <w:spacing w:after="120" w:line="320"/>
        <w:jc w:val="left"/>
      </w:pPr>
      <w:r>
        <w:rPr>
          <w:rFonts w:ascii="Calibri" w:cs="Calibri" w:eastAsia="Calibri" w:hAnsi="Calibri"/>
          <w:b/>
          <w:bCs/>
          <w:i w:val="false"/>
          <w:iCs w:val="false"/>
          <w:sz w:val="22"/>
          <w:szCs w:val="22"/>
        </w:rPr>
        <w:t xml:space="preserve">6. Authorship framing. </w:t>
      </w:r>
      <w:r>
        <w:rPr>
          <w:rFonts w:ascii="Calibri" w:cs="Calibri" w:eastAsia="Calibri" w:hAnsi="Calibri"/>
          <w:b w:val="false"/>
          <w:bCs w:val="false"/>
          <w:i w:val="false"/>
          <w:iCs w:val="false"/>
          <w:sz w:val="22"/>
          <w:szCs w:val="22"/>
        </w:rPr>
        <w:t xml:space="preserve">Section 1.1.2 explicitly identifies the disciplinary lens as computational thermodynamics (CALPHAD), which Odinzen LLC works on. The single-author origin is offset by (i) explicit declaration of disciplinary scope, (ii) reliance on previously published peer-reviewed materials-property data (no unpublished or non-peer-reviewed work is cited), (iii) standard methodology, and (iv) the comprehensive Declaration of Competing Interest provided as a separate file.</w:t>
      </w:r>
    </w:p>
    <w:p>
      <w:pPr>
        <w:spacing w:after="120" w:line="320"/>
        <w:jc w:val="left"/>
      </w:pPr>
      <w:r>
        <w:rPr>
          <w:rFonts w:ascii="Calibri" w:cs="Calibri" w:eastAsia="Calibri" w:hAnsi="Calibri"/>
          <w:b/>
          <w:bCs/>
          <w:i w:val="false"/>
          <w:iCs w:val="false"/>
          <w:sz w:val="22"/>
          <w:szCs w:val="22"/>
        </w:rPr>
        <w:t xml:space="preserve">Originality and disclosures. </w:t>
      </w:r>
      <w:r>
        <w:rPr>
          <w:rFonts w:ascii="Calibri" w:cs="Calibri" w:eastAsia="Calibri" w:hAnsi="Calibri"/>
          <w:b w:val="false"/>
          <w:bCs w:val="false"/>
          <w:i w:val="false"/>
          <w:iCs w:val="false"/>
          <w:sz w:val="22"/>
          <w:szCs w:val="22"/>
        </w:rPr>
        <w:t xml:space="preserve">The manuscript is original work, has not been published in whole or in substantive part elsewhere, and is not under consideration by any other journal. There are no conflicts of interest; no external funding was received. The Use of AI-Assisted Tools section discloses Anthropic Claude assistance for editorial revision, structural reorganisation, figure-production scripting, and formatting. All factual claims, numerical values, citations, the taxonomy, the lifecycle CO₂ and breakeven models, the parallel cold-plate case study, the Carnot exergy analysis, the materials-property comparisons, and the analytical conclusions are the author work and were verified against primary sources.</w:t>
      </w:r>
    </w:p>
    <w:p>
      <w:pPr>
        <w:spacing w:after="120" w:line="320"/>
        <w:jc w:val="left"/>
      </w:pPr>
      <w:r>
        <w:rPr>
          <w:rFonts w:ascii="Calibri" w:cs="Calibri" w:eastAsia="Calibri" w:hAnsi="Calibri"/>
          <w:sz w:val="22"/>
          <w:szCs w:val="22"/>
        </w:rPr>
        <w:t xml:space="preserve">I would welcome a renewed review and stand ready to respond promptly to any further comments. Thank you again for the invitation to bring this work back into scope with RSER standards.</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sz w:val="22"/>
          <w:szCs w:val="22"/>
        </w:rPr>
        <w:t xml:space="preserve">Yours sincerely,</w:t>
      </w:r>
    </w:p>
    <w:p>
      <w:pPr>
        <w:spacing w:after="120" w:line="320"/>
        <w:jc w:val="left"/>
      </w:pPr>
      <w:r>
        <w:rPr>
          <w:rFonts w:ascii="Calibri" w:cs="Calibri" w:eastAsia="Calibri" w:hAnsi="Calibri"/>
          <w:sz w:val="22"/>
          <w:szCs w:val="22"/>
        </w:rPr>
        <w:t xml:space="preserve"> </w:t>
      </w:r>
    </w:p>
    <w:p>
      <w:pPr>
        <w:spacing w:after="120" w:line="320"/>
        <w:jc w:val="left"/>
      </w:pPr>
      <w:r>
        <w:rPr>
          <w:rFonts w:ascii="Calibri" w:cs="Calibri" w:eastAsia="Calibri" w:hAnsi="Calibri"/>
          <w:sz w:val="22"/>
          <w:szCs w:val="22"/>
        </w:rPr>
        <w:t xml:space="preserve">Michael E. Bustamante</w:t>
      </w:r>
    </w:p>
    <w:p>
      <w:pPr>
        <w:spacing w:after="120" w:line="320"/>
        <w:jc w:val="left"/>
      </w:pPr>
      <w:r>
        <w:rPr>
          <w:rFonts w:ascii="Calibri" w:cs="Calibri" w:eastAsia="Calibri" w:hAnsi="Calibri"/>
          <w:sz w:val="22"/>
          <w:szCs w:val="22"/>
        </w:rPr>
        <w:t xml:space="preserve">Corresponding Author, Odinzen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Cover Letter</dc:title>
  <dc:creator>Michael E. Bustamante</dc:creator>
  <cp:lastModifiedBy>Un-named</cp:lastModifiedBy>
  <cp:revision>1</cp:revision>
  <dcterms:created xsi:type="dcterms:W3CDTF">2026-05-14T21:46:30.546Z</dcterms:created>
  <dcterms:modified xsi:type="dcterms:W3CDTF">2026-05-14T21:46:30.547Z</dcterms:modified>
</cp:coreProperties>
</file>

<file path=docProps/custom.xml><?xml version="1.0" encoding="utf-8"?>
<Properties xmlns="http://schemas.openxmlformats.org/officeDocument/2006/custom-properties" xmlns:vt="http://schemas.openxmlformats.org/officeDocument/2006/docPropsVTypes"/>
</file>