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Highlights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Cooling Materials for Sustainable Compute Waste-Heat Recovery (Bustamante, RSER 2026 V11)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 data-centres now drive compute waste-heat recovery; Bitcoin pioneered the practice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Three-generation taxonomy: dielectric fluids, liquid metals, embedded two-phase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Carnot exergy of recovered heat doubles, then triples, across the three generations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Breakeven matrix: heat reuse net-positive only on grids below ~0.13–0.24 tCO2/MWh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17 operational heat-reuse deployments across 9 countries, 3 continents documented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Each highlight ≤85 characters including spaces, per RSER author guidelines.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V11 Highlights</dc:title>
  <dc:creator>Michael E. Bustamante</dc:creator>
  <cp:lastModifiedBy>Un-named</cp:lastModifiedBy>
  <cp:revision>1</cp:revision>
  <dcterms:created xsi:type="dcterms:W3CDTF">2026-05-14T21:46:30.567Z</dcterms:created>
  <dcterms:modified xsi:type="dcterms:W3CDTF">2026-05-14T21:46:30.567Z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