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40.png" ContentType="image/png"/>
  <Override PartName="/word/media/rId2143.png" ContentType="image/png"/>
  <Override PartName="/word/media/rId2146.png" ContentType="image/png"/>
  <Override PartName="/word/media/rId2161.png" ContentType="image/png"/>
  <Override PartName="/word/media/rId2164.png" ContentType="image/png"/>
  <Override PartName="/word/media/rId2167.png" ContentType="image/png"/>
  <Override PartName="/word/media/rId2170.png" ContentType="image/png"/>
  <Override PartName="/word/media/rId2173.png" ContentType="image/png"/>
  <Override PartName="/word/media/rId21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86"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The same activity coupling gives the vapour a molten chloride flux fumes off, where complexing holds down the magnesium chloride.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2152" w:name="overview"/>
    <w:p>
      <w:pPr>
        <w:pStyle w:val="Heading2"/>
      </w:pPr>
      <w:r>
        <w:t xml:space="preserve">(1) Overview</w:t>
      </w:r>
    </w:p>
    <w:bookmarkStart w:id="2139"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2139"/>
    <w:bookmarkStart w:id="2149"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2141" name="Picture"/>
            <a:graphic>
              <a:graphicData uri="http://schemas.openxmlformats.org/drawingml/2006/picture">
                <pic:pic>
                  <pic:nvPicPr>
                    <pic:cNvPr descr="figures/fig1_architecture.png" id="2142" name="Picture"/>
                    <pic:cNvPicPr>
                      <a:picLocks noChangeArrowheads="1" noChangeAspect="1"/>
                    </pic:cNvPicPr>
                  </pic:nvPicPr>
                  <pic:blipFill>
                    <a:blip r:embed="rId2140"/>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The same readout switches with the loaded chemistry: for a molten chloride flux it shows the fume, each salt’s partial pressure taken as its engine activity times its measured pure-component vapour pressure, so that magnesium chloride, held in the melt by chlorocomplexing, contributes only a few percent of the vapour despite being a fifth of the flux.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2144" name="Picture"/>
            <a:graphic>
              <a:graphicData uri="http://schemas.openxmlformats.org/drawingml/2006/picture">
                <pic:pic>
                  <pic:nvPicPr>
                    <pic:cNvPr descr="figures/fig2_browser_app.png" id="2145" name="Picture"/>
                    <pic:cNvPicPr>
                      <a:picLocks noChangeArrowheads="1" noChangeAspect="1"/>
                    </pic:cNvPicPr>
                  </pic:nvPicPr>
                  <pic:blipFill>
                    <a:blip r:embed="rId2143"/>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2147" name="Picture"/>
            <a:graphic>
              <a:graphicData uri="http://schemas.openxmlformats.org/drawingml/2006/picture">
                <pic:pic>
                  <pic:nvPicPr>
                    <pic:cNvPr descr="figures/fig3_ternary.png" id="2148" name="Picture"/>
                    <pic:cNvPicPr>
                      <a:picLocks noChangeArrowheads="1" noChangeAspect="1"/>
                    </pic:cNvPicPr>
                  </pic:nvPicPr>
                  <pic:blipFill>
                    <a:blip r:embed="rId2146"/>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2149"/>
    <w:bookmarkStart w:id="2150"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150"/>
    <w:bookmarkStart w:id="2151"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keepNext/>
              <w:pStyle w:val="Compact"/>
              <w:jc w:val="left"/>
            </w:pPr>
            <w:r>
              <w:t xml:space="preserve">Gas-slag coupling (iron-saturated)</w:t>
            </w:r>
          </w:p>
        </w:tc>
        <w:tc>
          <w:tcPr/>
          <w:p>
            <w:pPr>
              <w:keepNext/>
              <w:pStyle w:val="Compact"/>
              <w:jc w:val="left"/>
            </w:pPr>
            <w:r>
              <w:t xml:space="preserve">gas + MQMQA slag through the FeO activity; equilibrium CO</w:t>
            </w:r>
            <w:r>
              <w:rPr>
                <w:vertAlign w:val="subscript"/>
              </w:rPr>
              <w:t xml:space="preserve">2</w:t>
            </w:r>
            <w:r>
              <w:t xml:space="preserve">/CO vs slag composition</w:t>
            </w:r>
          </w:p>
        </w:tc>
        <w:tc>
          <w:tcPr/>
          <w:p>
            <w:pPr>
              <w:keepNext/>
              <w:pStyle w:val="Compact"/>
              <w:jc w:val="left"/>
            </w:pPr>
            <w:r>
              <w:t xml:space="preserve">pure-FeO limit within 1% of the Cantera Fe/FeO buffer; slag activity matches the fitted iron-saturated data</w:t>
            </w:r>
          </w:p>
        </w:tc>
      </w:tr>
      <w:tr>
        <w:trPr>
          <w:cantSplit/>
        </w:trPr>
        <w:tc>
          <w:tcPr/>
          <w:p>
            <w:pPr>
              <w:pStyle w:val="Compact"/>
              <w:jc w:val="left"/>
            </w:pPr>
            <w:r>
              <w:t xml:space="preserve">Gas-flux coupling (chloride fume)</w:t>
            </w:r>
          </w:p>
        </w:tc>
        <w:tc>
          <w:tcPr/>
          <w:p>
            <w:pPr>
              <w:pStyle w:val="Compact"/>
              <w:jc w:val="left"/>
            </w:pPr>
            <w:r>
              <w:t xml:space="preserve">gas + MQMQA salt through component activities; fume partial pressures p</w:t>
            </w:r>
            <w:r>
              <w:rPr>
                <w:vertAlign w:val="subscript"/>
              </w:rPr>
              <w:t xml:space="preserve">i</w:t>
            </w:r>
            <w:r>
              <w:t xml:space="preserve"> </w:t>
            </w:r>
            <w:r>
              <w:t xml:space="preserve">= a</w:t>
            </w:r>
            <w:r>
              <w:rPr>
                <w:vertAlign w:val="subscript"/>
              </w:rPr>
              <w:t xml:space="preserve">i</w:t>
            </w:r>
            <w:r>
              <w:t xml:space="preserve"> </w:t>
            </w:r>
            <w:r>
              <w:t xml:space="preserve">p</w:t>
            </w:r>
            <w:r>
              <w:rPr>
                <w:vertAlign w:val="subscript"/>
              </w:rPr>
              <w:t xml:space="preserve">i</w:t>
            </w:r>
            <w:r>
              <w:rPr>
                <w:vertAlign w:val="superscript"/>
              </w:rPr>
              <w:t xml:space="preserve">o</w:t>
            </w:r>
            <w:r>
              <w:t xml:space="preserve"> </w:t>
            </w:r>
            <w:r>
              <w:t xml:space="preserve">vs temperature</w:t>
            </w:r>
          </w:p>
        </w:tc>
        <w:tc>
          <w:tcPr/>
          <w:p>
            <w:pPr>
              <w:pStyle w:val="Compact"/>
              <w:jc w:val="left"/>
            </w:pPr>
            <w:r>
              <w:t xml:space="preserve">pure limit gives unit activity to five figures; NaCl-KCl binary reproduces the measured near-ideal negative deviation; pure-component vapour pressures reproduce the measured boiling points</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v0.5.1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151"/>
    <w:bookmarkEnd w:id="2152"/>
    <w:bookmarkStart w:id="2160" w:name="availability"/>
    <w:p>
      <w:pPr>
        <w:pStyle w:val="Heading2"/>
      </w:pPr>
      <w:r>
        <w:t xml:space="preserve">(2) Availability</w:t>
      </w:r>
    </w:p>
    <w:bookmarkStart w:id="2153"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153"/>
    <w:bookmarkStart w:id="2154"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154"/>
    <w:bookmarkStart w:id="2155"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155"/>
    <w:bookmarkStart w:id="2156"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2156"/>
    <w:bookmarkStart w:id="2157" w:name="list-of-contributors"/>
    <w:p>
      <w:pPr>
        <w:pStyle w:val="Heading3"/>
      </w:pPr>
      <w:r>
        <w:t xml:space="preserve">List of contributors</w:t>
      </w:r>
    </w:p>
    <w:p>
      <w:pPr>
        <w:pStyle w:val="FirstParagraph"/>
      </w:pPr>
      <w:r>
        <w:t xml:space="preserve">Michael E. Bustamante (design, implementation, validation, data curation).</w:t>
      </w:r>
    </w:p>
    <w:bookmarkEnd w:id="2157"/>
    <w:bookmarkStart w:id="2158"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https://github.com/odinzen/hephaestus-mqmqa-public/releases/tag/v0.5.1</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v0.5.1</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2158"/>
    <w:bookmarkStart w:id="2159" w:name="language"/>
    <w:p>
      <w:pPr>
        <w:pStyle w:val="Heading3"/>
      </w:pPr>
      <w:r>
        <w:t xml:space="preserve">Language</w:t>
      </w:r>
    </w:p>
    <w:p>
      <w:pPr>
        <w:pStyle w:val="FirstParagraph"/>
      </w:pPr>
      <w:r>
        <w:t xml:space="preserve">English.</w:t>
      </w:r>
    </w:p>
    <w:bookmarkEnd w:id="2159"/>
    <w:bookmarkEnd w:id="2160"/>
    <w:bookmarkStart w:id="2180"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The same core also exposes a thermodynamic application interface shaped like OpenCalphad’s OCASI (the de-facto embedding standard, descended from Thermo-Calc’s TQ), written clean-room from its documented semantics, so software built to drive OpenCalphad can bind this engine instead and run where the GPL Fortran reference cannot, in the browser and inside permissively or closed-licensed products; the interface is checked against pycalphad in the suite.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179"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2162" name="Picture"/>
            <a:graphic>
              <a:graphicData uri="http://schemas.openxmlformats.org/drawingml/2006/picture">
                <pic:pic>
                  <pic:nvPicPr>
                    <pic:cNvPr descr="figures/fig4_salt_example.png" id="2163" name="Picture"/>
                    <pic:cNvPicPr>
                      <a:picLocks noChangeArrowheads="1" noChangeAspect="1"/>
                    </pic:cNvPicPr>
                  </pic:nvPicPr>
                  <pic:blipFill>
                    <a:blip r:embed="rId2161"/>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2165" name="Picture"/>
            <a:graphic>
              <a:graphicData uri="http://schemas.openxmlformats.org/drawingml/2006/picture">
                <pic:pic>
                  <pic:nvPicPr>
                    <pic:cNvPr descr="figures/fig5_alloy_example.png" id="2166" name="Picture"/>
                    <pic:cNvPicPr>
                      <a:picLocks noChangeArrowheads="1" noChangeAspect="1"/>
                    </pic:cNvPicPr>
                  </pic:nvPicPr>
                  <pic:blipFill>
                    <a:blip r:embed="rId2164"/>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salt side of the same coupling is the fume over a molten chloride flux (Figure 8): each salt evaporates at its engine activity times its measured pure-component vapour pressure, so magnesium chloride, a fifth of the NaCl-KCl-MgCl2 flux, is only a few percent of the fume, because chlorocomplexing holds its activity far below its mole fraction. The engine’s validated activities are what separate that fume from a Raoultian estimate.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9.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2168" name="Picture"/>
            <a:graphic>
              <a:graphicData uri="http://schemas.openxmlformats.org/drawingml/2006/picture">
                <pic:pic>
                  <pic:nvPicPr>
                    <pic:cNvPr descr="figures/fig6_utdb_steel.png" id="2169" name="Picture"/>
                    <pic:cNvPicPr>
                      <a:picLocks noChangeArrowheads="1" noChangeAspect="1"/>
                    </pic:cNvPicPr>
                  </pic:nvPicPr>
                  <pic:blipFill>
                    <a:blip r:embed="rId2167"/>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2171" name="Picture"/>
            <a:graphic>
              <a:graphicData uri="http://schemas.openxmlformats.org/drawingml/2006/picture">
                <pic:pic>
                  <pic:nvPicPr>
                    <pic:cNvPr descr="figures/fig7_gas_steel.png" id="2172" name="Picture"/>
                    <pic:cNvPicPr>
                      <a:picLocks noChangeArrowheads="1" noChangeAspect="1"/>
                    </pic:cNvPicPr>
                  </pic:nvPicPr>
                  <pic:blipFill>
                    <a:blip r:embed="rId2170"/>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5334000" cy="2319130"/>
            <wp:effectExtent b="0" l="0" r="0" t="0"/>
            <wp:docPr descr="Figure 8: The gas-flux coupling as a molten-salt worked example, the fume over a NaCl-KCl-MgCl2 = 40/40/20 mol% flux. Each salt’s partial pressure is its engine activity times its measured pure-component vapour pressure (NaCl and KCl from NIST Antoine fits, MgCl2 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 title="" id="2174" name="Picture"/>
            <a:graphic>
              <a:graphicData uri="http://schemas.openxmlformats.org/drawingml/2006/picture">
                <pic:pic>
                  <pic:nvPicPr>
                    <pic:cNvPr descr="figures/fig8_gas_flux.png" id="2175" name="Picture"/>
                    <pic:cNvPicPr>
                      <a:picLocks noChangeArrowheads="1" noChangeAspect="1"/>
                    </pic:cNvPicPr>
                  </pic:nvPicPr>
                  <pic:blipFill>
                    <a:blip r:embed="rId2173"/>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8: The gas-flux coupling as a molten-salt worked example, the fume over a NaCl-KCl-MgCl</w:t>
      </w:r>
      <w:r>
        <w:rPr>
          <w:vertAlign w:val="subscript"/>
        </w:rPr>
        <w:t xml:space="preserve">2</w:t>
      </w:r>
      <w:r>
        <w:t xml:space="preserve"> </w:t>
      </w:r>
      <w:r>
        <w:t xml:space="preserve">= 40/40/20 mol% flux. Each salt’s partial pressure is its engine activity times its measured pure-component vapour pressure (NaCl and KCl from NIST Antoine fits, MgCl</w:t>
      </w:r>
      <w:r>
        <w:rPr>
          <w:vertAlign w:val="subscript"/>
        </w:rPr>
        <w:t xml:space="preserve">2</w:t>
      </w:r>
      <w:r>
        <w:t xml:space="preserve"> </w:t>
      </w:r>
      <w:r>
        <w:t xml:space="preserve">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w:t>
      </w:r>
    </w:p>
    <w:p>
      <w:pPr>
        <w:pStyle w:val="CaptionedFigure"/>
      </w:pPr>
      <w:r>
        <w:drawing>
          <wp:inline>
            <wp:extent cx="4572000" cy="3556000"/>
            <wp:effectExtent b="0" l="0" r="0" t="0"/>
            <wp:docPr descr="Figure 9: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 title="" id="2177" name="Picture"/>
            <a:graphic>
              <a:graphicData uri="http://schemas.openxmlformats.org/drawingml/2006/picture">
                <pic:pic>
                  <pic:nvPicPr>
                    <pic:cNvPr descr="figures/fig9_uq_alzn.png" id="2178" name="Picture"/>
                    <pic:cNvPicPr>
                      <a:picLocks noChangeArrowheads="1" noChangeAspect="1"/>
                    </pic:cNvPicPr>
                  </pic:nvPicPr>
                  <pic:blipFill>
                    <a:blip r:embed="rId2176"/>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9: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v0.5.1 archives the exact version described, and the 137-test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179"/>
    <w:bookmarkEnd w:id="2180"/>
    <w:bookmarkStart w:id="2181"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v0.5.1. The database files and their provenance records are in the repository’s data directory under CC BY 4.0.</w:t>
      </w:r>
    </w:p>
    <w:bookmarkEnd w:id="2181"/>
    <w:bookmarkStart w:id="2182"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2182"/>
    <w:bookmarkStart w:id="2183" w:name="funding-statement"/>
    <w:p>
      <w:pPr>
        <w:pStyle w:val="Heading2"/>
      </w:pPr>
      <w:r>
        <w:t xml:space="preserve">Funding statement</w:t>
      </w:r>
    </w:p>
    <w:p>
      <w:pPr>
        <w:pStyle w:val="FirstParagraph"/>
      </w:pPr>
      <w:r>
        <w:t xml:space="preserve">The development of this software received no external funding.</w:t>
      </w:r>
    </w:p>
    <w:bookmarkEnd w:id="2183"/>
    <w:bookmarkStart w:id="2184"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2184"/>
    <w:bookmarkStart w:id="2185"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2185"/>
    <w:bookmarkEnd w:id="2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138" Target="numbering.xml" /><Relationship Type="http://schemas.openxmlformats.org/officeDocument/2006/relationships/styles" Id="rId2137" Target="styles.xml" /><Relationship Type="http://schemas.openxmlformats.org/officeDocument/2006/relationships/settings" Id="rId2136" Target="settings.xml" /><Relationship Type="http://schemas.openxmlformats.org/officeDocument/2006/relationships/webSettings" Id="rId2135" Target="webSettings.xml" /><Relationship Type="http://schemas.openxmlformats.org/officeDocument/2006/relationships/fontTable" Id="rId2134" Target="fontTable.xml" /><Relationship Type="http://schemas.openxmlformats.org/officeDocument/2006/relationships/theme" Id="rId2133" Target="theme/theme1.xml" /><Relationship Type="http://schemas.openxmlformats.org/officeDocument/2006/relationships/footnotes" Id="rId2132" Target="footnotes.xml" /><Relationship Type="http://schemas.openxmlformats.org/officeDocument/2006/relationships/comments" Id="rId2131"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Id="rId2094" Target="media/rId2094.png" Type="http://schemas.openxmlformats.org/officeDocument/2006/relationships/image" /><Relationship Id="rId2097" Target="media/rId2097.png" Type="http://schemas.openxmlformats.org/officeDocument/2006/relationships/image" /><Relationship Id="rId2100" Target="media/rId2100.png" Type="http://schemas.openxmlformats.org/officeDocument/2006/relationships/image" /><Relationship Id="rId2115" Target="media/rId2115.png" Type="http://schemas.openxmlformats.org/officeDocument/2006/relationships/image" /><Relationship Id="rId2118" Target="media/rId2118.png" Type="http://schemas.openxmlformats.org/officeDocument/2006/relationships/image" /><Relationship Id="rId2121" Target="media/rId2121.png" Type="http://schemas.openxmlformats.org/officeDocument/2006/relationships/image" /><Relationship Id="rId2124" Target="media/rId2124.png" Type="http://schemas.openxmlformats.org/officeDocument/2006/relationships/image" /><Relationship Id="rId2127" Target="media/rId2127.png" Type="http://schemas.openxmlformats.org/officeDocument/2006/relationships/image" /><Relationship Id="rId2130" Target="media/rId2130.png" Type="http://schemas.openxmlformats.org/officeDocument/2006/relationships/image" /><Relationship Type="http://schemas.openxmlformats.org/officeDocument/2006/relationships/image" Id="rId2140" Target="media/rId2140.png" /><Relationship Type="http://schemas.openxmlformats.org/officeDocument/2006/relationships/image" Id="rId2143" Target="media/rId2143.png" /><Relationship Type="http://schemas.openxmlformats.org/officeDocument/2006/relationships/image" Id="rId2146" Target="media/rId2146.png" /><Relationship Type="http://schemas.openxmlformats.org/officeDocument/2006/relationships/image" Id="rId2161" Target="media/rId2161.png" /><Relationship Type="http://schemas.openxmlformats.org/officeDocument/2006/relationships/image" Id="rId2164" Target="media/rId2164.png" /><Relationship Type="http://schemas.openxmlformats.org/officeDocument/2006/relationships/image" Id="rId2167" Target="media/rId2167.png" /><Relationship Type="http://schemas.openxmlformats.org/officeDocument/2006/relationships/image" Id="rId2170" Target="media/rId2170.png" /><Relationship Type="http://schemas.openxmlformats.org/officeDocument/2006/relationships/image" Id="rId2173" Target="media/rId2173.png" /><Relationship Type="http://schemas.openxmlformats.org/officeDocument/2006/relationships/image" Id="rId2176" Target="media/rId21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2026-09-09T01:50:47Z</dcterms:created>
  <dcterms:modified xsi:type="dcterms:W3CDTF">2026-09-09T01:50:47Z</dcterms:modified>
</cp:coreProperties>
</file>

<file path=docProps/custom.xml><?xml version="1.0" encoding="utf-8"?>
<Properties xmlns="http://schemas.openxmlformats.org/officeDocument/2006/custom-properties" xmlns:vt="http://schemas.openxmlformats.org/officeDocument/2006/docPropsVTypes"/>
</file>