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92.png" ContentType="image/png"/>
  <Override PartName="/word/media/rId1495.png" ContentType="image/png"/>
  <Override PartName="/word/media/rId1498.png" ContentType="image/png"/>
  <Override PartName="/word/media/rId1513.png" ContentType="image/png"/>
  <Override PartName="/word/media/rId1516.png" ContentType="image/png"/>
  <Override PartName="/word/media/rId15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29"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It also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calculates phase equilibria up to full ternary isothermal sections and liquidus projections, and Scheil-Gulliver solidification paths on any binary join. A NASA-polynomial ideal-gas engine, validated against Cantera, brings the gas equilibria a furnace atmosphere demands into the same browser; coupling the gas to a condensed melt is in progress.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gas equilibrium; WebAssembly; open data</w:t>
      </w:r>
    </w:p>
    <w:bookmarkStart w:id="1504" w:name="overview"/>
    <w:p>
      <w:pPr>
        <w:pStyle w:val="Heading2"/>
      </w:pPr>
      <w:r>
        <w:t xml:space="preserve">(1) Overview</w:t>
      </w:r>
    </w:p>
    <w:bookmarkStart w:id="1491"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These processes are never purely condensed. The furnace atmosphere governs them, because the carbon monoxide to carbon dioxide ratio, and the oxygen partial pressure it fixes, decide whether a metal is reduced or a slag oxidized, so the gas belongs in the same calculation. That gas data lives in yet another open family, the NASA polynomials of combustion and aerospace.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This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p>
      <w:pPr>
        <w:pStyle w:val="BodyText"/>
      </w:pPr>
      <w:r>
        <w:t xml:space="preserve">Table 1: The schools of thermodynamic database containers. One need, assessed Gibbs energies behind a calculation, split across mutually unreadable families; the present work reads the two CALPHAD dialects and their unified extension in one engine.</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proposed unified schema, MQMQA included</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calculated formation energies and finite-temperature properties (the Materials Project [16] and kin)</w:t>
            </w:r>
          </w:p>
        </w:tc>
      </w:tr>
    </w:tbl>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1491"/>
    <w:bookmarkStart w:id="1501"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167"/>
            <wp:effectExtent b="0" l="0" r="0" t="0"/>
            <wp:docPr descr="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 title="" id="1493" name="Picture"/>
            <a:graphic>
              <a:graphicData uri="http://schemas.openxmlformats.org/drawingml/2006/picture">
                <pic:pic>
                  <pic:nvPicPr>
                    <pic:cNvPr descr="figures/fig1_architecture.png" id="1494" name="Picture"/>
                    <pic:cNvPicPr>
                      <a:picLocks noChangeArrowheads="1" noChangeAspect="1"/>
                    </pic:cNvPicPr>
                  </pic:nvPicPr>
                  <pic:blipFill>
                    <a:blip r:embed="rId1492"/>
                    <a:stretch>
                      <a:fillRect/>
                    </a:stretch>
                  </pic:blipFill>
                  <pic:spPr bwMode="auto">
                    <a:xfrm>
                      <a:off x="0" y="0"/>
                      <a:ext cx="5334000" cy="3511167"/>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(CEF) [17],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[18],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(thermodynamic database)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binary Redlich-Kister interactions of any order (ternary interaction parameters are outside the subset and rejected with the stated reason),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calculated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seven tools. A calculator works over any loaded database (ChemSage .dat or Thermo-Calc .tdb, auto-detected, with up to three uploaded files held per session). A binary-join phase-diagram tool offers tap-to-read point comparison, and a Scheil-Gulliver solidification panel on the same join draws the equilibrium lever-rule path alongside. A viewer shows the assessed FeO-MgO-SiO</w:t>
      </w:r>
      <w:r>
        <w:rPr>
          <w:vertAlign w:val="subscript"/>
        </w:rPr>
        <w:t xml:space="preserve">2</w:t>
      </w:r>
      <w:r>
        <w:t xml:space="preserve"> </w:t>
      </w:r>
      <w:r>
        <w:t xml:space="preserve">diagrams, and a live isothermal-section solver calculates the full phase assemblage at a chosen temperature in a second or two, for the shipped ternaries or for any loaded three-cation file (Figure 2). An interactive eutectic builder pre-fills its component names, melting points, and fusion enthalpies from the loaded database. A gas-equilibrium calculator solves ideal-gas equilibrium over an open NASA-polynomial database, its own engine compiled into the same WebAssembly core.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3913308"/>
            <wp:effectExtent b="0" l="0" r="0" t="0"/>
            <wp:docPr descr="Figure 2: The live solver in the browser application (light theme). The user loads the shipped database, picks a temperature, and presses Compute; the WebAssembly engine then solves the full FeO-MgO-SiO2 phase assemblage client side (here 861 composition samples and 595 tie-facets in about two seconds). Tapping a composition reads its stable phases and pins it to a comparison list; hovering previews on desktop." title="" id="1496" name="Picture"/>
            <a:graphic>
              <a:graphicData uri="http://schemas.openxmlformats.org/drawingml/2006/picture">
                <pic:pic>
                  <pic:nvPicPr>
                    <pic:cNvPr descr="figures/fig2_browser_app.png" id="1497" name="Picture"/>
                    <pic:cNvPicPr>
                      <a:picLocks noChangeArrowheads="1" noChangeAspect="1"/>
                    </pic:cNvPicPr>
                  </pic:nvPicPr>
                  <pic:blipFill>
                    <a:blip r:embed="rId1495"/>
                    <a:stretch>
                      <a:fillRect/>
                    </a:stretch>
                  </pic:blipFill>
                  <pic:spPr bwMode="auto">
                    <a:xfrm>
                      <a:off x="0" y="0"/>
                      <a:ext cx="4754880" cy="3913308"/>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861 composition samples and 595 tie-facets in about two seconds).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[19] and the NIST-JANAF tables [20]. Liquid excess parameters are fitted to published measurements: Knudsen-effusion and gas-slag equilibrium activities for CaO-SiO</w:t>
      </w:r>
      <w:r>
        <w:rPr>
          <w:vertAlign w:val="subscript"/>
        </w:rPr>
        <w:t xml:space="preserve">2</w:t>
      </w:r>
      <w:r>
        <w:t xml:space="preserve"> </w:t>
      </w:r>
      <w:r>
        <w:t xml:space="preserve">[21,22], the measured iron-saturated activities collected by Björkman for FeO-SiO</w:t>
      </w:r>
      <w:r>
        <w:rPr>
          <w:vertAlign w:val="subscript"/>
        </w:rPr>
        <w:t xml:space="preserve">2</w:t>
      </w:r>
      <w:r>
        <w:t xml:space="preserve"> </w:t>
      </w:r>
      <w:r>
        <w:t xml:space="preserve">[23], and the melting and immiscibility constraints of the classical phase diagram studies [24-26]. Solution-calorimetric compound enthalpies [27] anchor the solids. Where published calorimetry cannot constrain a liquid, melt-mixing enthalpies from machine-learned interatomic potentials [28,29] serve as auxiliary anchors after bias correction against measured formation enthalpies; each such use is recorded in the provenance files. First-principles codes sit upstream of this pipeline. A density functional theory (DFT) engine such as Quantum ESPRESSO [30] or VASP [31] calculates the energy of one configuration at a time, at zero kelvin unless phonon or molecular-dynamics machinery is layered on top. It supplies candidate data for an assessment to weigh, not assessed multicomponent Gibbs functions, and repositories such as the Materials Project [16] serve such results at scale. That physics enters the present databases only through potentials trained on large DFT corpora. MatterSim [28] and Orb [29] supply the melt anchors above, and a further graph-network potential, SevenNet [32], was used to corroborate the olivine mixing enthalpy against the calorimetric record [33] through configuration-averaged relaxed supercells, with endmember differences cancelling any constant offset; the check is recorded in the repository and changed no fitted parameter. The olivine and orthopyroxene solid solutions take their endmembers from Robie and Hemingway [19] and their mixing parameters from solution calorimetry [33]. The assembled ternary reproduces the topology of the measured MgO-FeO-SiO</w:t>
      </w:r>
      <w:r>
        <w:rPr>
          <w:vertAlign w:val="subscript"/>
        </w:rPr>
        <w:t xml:space="preserve">2</w:t>
      </w:r>
      <w:r>
        <w:t xml:space="preserve"> </w:t>
      </w:r>
      <w:r>
        <w:t xml:space="preserve">liquidus surface [24], with the olivine field quantitative and the known offsets stated. No parameter is taken from any prior assessment or commercial database; published assessments of these systems [34]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[35], measured mixing calorimetry [36], and the measured eutectic, liquidus, and solvus record of the halide literature [37], and loadable in the browser application with one click. The nuclear community’s MSTDB-TC [38] covers molten salts for reactor work under a registration license; the chloride family here is complementary, small, and CC BY.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7297"/>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1499" name="Picture"/>
            <a:graphic>
              <a:graphicData uri="http://schemas.openxmlformats.org/drawingml/2006/picture">
                <pic:pic>
                  <pic:nvPicPr>
                    <pic:cNvPr descr="figures/fig3_ternary.png" id="1500" name="Picture"/>
                    <pic:cNvPicPr>
                      <a:picLocks noChangeArrowheads="1" noChangeAspect="1"/>
                    </pic:cNvPicPr>
                  </pic:nvPicPr>
                  <pic:blipFill>
                    <a:blip r:embed="rId1498"/>
                    <a:stretch>
                      <a:fillRect/>
                    </a:stretch>
                  </pic:blipFill>
                  <pic:spPr bwMode="auto">
                    <a:xfrm>
                      <a:off x="0" y="0"/>
                      <a:ext cx="5334000" cy="2197297"/>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p>
      <w:pPr>
        <w:pStyle w:val="BodyText"/>
      </w:pPr>
      <w:r>
        <w:t xml:space="preserve">Table 2: The assessed liquids. Full source lists, modeling judgments, and limits are in each system’s provenance file in the repository.</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[21,22]; bias-corrected melt-mixing enthalpies [28,29];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[25,26] from five studies, the measured consolute, and solution calorimetry [27]</w:t>
            </w:r>
          </w:p>
        </w:tc>
        <w:tc>
          <w:tcPr/>
          <w:p>
            <w:pPr>
              <w:keepNext/>
              <w:pStyle w:val="Compact"/>
              <w:jc w:val="left"/>
            </w:pPr>
            <w:r>
              <w:t xml:space="preserve">all four invariants within about 40 °C; calorimetry matched; stable two-liquid field about 340 °C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[23]</w:t>
            </w:r>
          </w:p>
        </w:tc>
        <w:tc>
          <w:tcPr/>
          <w:p>
            <w:pPr>
              <w:keepNext/>
              <w:pStyle w:val="Compact"/>
              <w:jc w:val="left"/>
            </w:pPr>
            <w:r>
              <w:t xml:space="preserve">RMS ln a = 0.067; fayalite congruent melting within a few degrees</w:t>
            </w:r>
          </w:p>
        </w:tc>
      </w:tr>
      <w:tr>
        <w:trPr>
          <w:cantSplit/>
        </w:trPr>
        <w:tc>
          <w:tcPr/>
          <w:p>
            <w:pPr>
              <w:pStyle w:val="Compact"/>
              <w:jc w:val="left"/>
            </w:pPr>
            <w:r>
              <w:t xml:space="preserve">FeO-MgO-SiO</w:t>
            </w:r>
            <w:r>
              <w:rPr>
                <w:vertAlign w:val="subscript"/>
              </w:rPr>
              <w:t xml:space="preserve">2</w:t>
            </w:r>
          </w:p>
        </w:tc>
        <w:tc>
          <w:tcPr/>
          <w:p>
            <w:pPr>
              <w:pStyle w:val="Compact"/>
              <w:jc w:val="left"/>
            </w:pPr>
            <w:r>
              <w:t xml:space="preserve">binaries combined; no ternary term</w:t>
            </w:r>
          </w:p>
        </w:tc>
        <w:tc>
          <w:tcPr/>
          <w:p>
            <w:pPr>
              <w:pStyle w:val="Compact"/>
              <w:jc w:val="left"/>
            </w:pPr>
            <w:r>
              <w:t xml:space="preserve">assembled from the binaries with olivine and orthopyroxene solutions [19,33]</w:t>
            </w:r>
          </w:p>
        </w:tc>
        <w:tc>
          <w:tcPr/>
          <w:p>
            <w:pPr>
              <w:pStyle w:val="Compact"/>
              <w:jc w:val="left"/>
            </w:pPr>
            <w:r>
              <w:t xml:space="preserve">measured liquidus-surface topology [24]; stable phase sets match pycalphad at 15 of 16 points</w:t>
            </w:r>
          </w:p>
        </w:tc>
      </w:tr>
    </w:tbl>
    <w:bookmarkEnd w:id="1501"/>
    <w:bookmarkStart w:id="1502"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1502"/>
    <w:bookmarkStart w:id="1503"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114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[39]; for LiCl-KCl the residue freezes at 629 K against the measured 626 K.</w:t>
      </w:r>
    </w:p>
    <w:p>
      <w:pPr>
        <w:pStyle w:val="BodyText"/>
      </w:pPr>
      <w:r>
        <w:t xml:space="preserve">Table 3: Validation against the independent oracle. Every check runs in the pytest suite except the in-browser one, which is exercised manually per release.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keepNext/>
              <w:pStyle w:val="Compact"/>
              <w:jc w:val="left"/>
            </w:pPr>
            <w:r>
              <w:t xml:space="preserve">TDB scope guard</w:t>
            </w:r>
          </w:p>
        </w:tc>
        <w:tc>
          <w:tcPr/>
          <w:p>
            <w:pPr>
              <w:keepNext/>
              <w:pStyle w:val="Compact"/>
              <w:jc w:val="left"/>
            </w:pPr>
            <w:r>
              <w:t xml:space="preserve">ionic-liquid and order-disorder test files</w:t>
            </w:r>
          </w:p>
        </w:tc>
        <w:tc>
          <w:tcPr/>
          <w:p>
            <w:pPr>
              <w:keepNext/>
              <w:pStyle w:val="Compact"/>
              <w:jc w:val="left"/>
            </w:pPr>
            <w:r>
              <w:t xml:space="preserve">rejected, with the reason asserted</w:t>
            </w:r>
          </w:p>
        </w:tc>
      </w:tr>
      <w:tr>
        <w:trPr>
          <w:cantSplit/>
        </w:trPr>
        <w:tc>
          <w:tcPr/>
          <w:p>
            <w:pPr>
              <w:pStyle w:val="Compact"/>
              <w:jc w:val="left"/>
            </w:pPr>
            <w:r>
              <w:t xml:space="preserve">Gas phase</w:t>
            </w:r>
          </w:p>
        </w:tc>
        <w:tc>
          <w:tcPr/>
          <w:p>
            <w:pPr>
              <w:pStyle w:val="Compact"/>
              <w:jc w:val="left"/>
            </w:pPr>
            <w:r>
              <w:t xml:space="preserve">NASA-polynomial ideal-gas equilibria (Python and C core); Peng-Robinson real gas</w:t>
            </w:r>
          </w:p>
        </w:tc>
        <w:tc>
          <w:tcPr/>
          <w:p>
            <w:pPr>
              <w:pStyle w:val="Compact"/>
              <w:jc w:val="left"/>
            </w:pPr>
            <w:r>
              <w:t xml:space="preserve">Cantera [40] parity to 10</w:t>
            </w:r>
            <w:r>
              <w:rPr>
                <w:vertAlign w:val="superscript"/>
              </w:rPr>
              <w:t xml:space="preserve">-10</w:t>
            </w:r>
            <w:r>
              <w:t xml:space="preserve"> </w:t>
            </w:r>
            <w:r>
              <w:t xml:space="preserve">(Python), 10</w:t>
            </w:r>
            <w:r>
              <w:rPr>
                <w:vertAlign w:val="superscript"/>
              </w:rPr>
              <w:t xml:space="preserve">-6</w:t>
            </w:r>
            <w:r>
              <w:t xml:space="preserve"> </w:t>
            </w:r>
            <w:r>
              <w:t xml:space="preserve">(C/browser); real-gas compressibility to 10</w:t>
            </w:r>
            <w:r>
              <w:rPr>
                <w:vertAlign w:val="superscript"/>
              </w:rPr>
              <w:t xml:space="preserve">-3</w:t>
            </w:r>
            <w:r>
              <w:t xml:space="preserve"> </w:t>
            </w:r>
            <w:r>
              <w:t xml:space="preserve">vs Cantera PR</w:t>
            </w:r>
          </w:p>
        </w:tc>
      </w:tr>
    </w:tbl>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[23],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[24]. Development practice is plain: the repository is version controlled with tagged releases (v0.1.0 through the v0.4.0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1503"/>
    <w:bookmarkEnd w:id="1504"/>
    <w:bookmarkStart w:id="1512" w:name="availability"/>
    <w:p>
      <w:pPr>
        <w:pStyle w:val="Heading2"/>
      </w:pPr>
      <w:r>
        <w:t xml:space="preserve">(2) Availability</w:t>
      </w:r>
    </w:p>
    <w:bookmarkStart w:id="1505"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1505"/>
    <w:bookmarkStart w:id="1506"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1506"/>
    <w:bookmarkStart w:id="1507"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1507"/>
    <w:bookmarkStart w:id="1508" w:name="dependencies"/>
    <w:p>
      <w:pPr>
        <w:pStyle w:val="Heading3"/>
      </w:pPr>
      <w:r>
        <w:t xml:space="preserve">Dependencies</w:t>
      </w:r>
    </w:p>
    <w:p>
      <w:pPr>
        <w:pStyle w:val="FirstParagraph"/>
      </w:pPr>
      <w:r>
        <w:t xml:space="preserve">Python interface: cffi, NumPy, SciPy (developed and tested with cffi 2.0, NumPy 2.4, and SciPy 1.17). The validation suite additionally requires pycalphad; every oracle comparison reported here ran against pycalphad 0.11.1, and the tests that read pycalphad’s own shipped test databases skip cleanly if a later version relocates them. The WebAssembly build requires emscripten. The C core and the browser application have no dependencies.</w:t>
      </w:r>
    </w:p>
    <w:bookmarkEnd w:id="1508"/>
    <w:bookmarkStart w:id="1509" w:name="list-of-contributors"/>
    <w:p>
      <w:pPr>
        <w:pStyle w:val="Heading3"/>
      </w:pPr>
      <w:r>
        <w:t xml:space="preserve">List of contributors</w:t>
      </w:r>
    </w:p>
    <w:p>
      <w:pPr>
        <w:pStyle w:val="FirstParagraph"/>
      </w:pPr>
      <w:r>
        <w:t xml:space="preserve">Michael E. Bustamante (design, implementation, validation, data curation).</w:t>
      </w:r>
    </w:p>
    <w:bookmarkEnd w:id="1509"/>
    <w:bookmarkStart w:id="1510"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https://github.com/odinzen/hephaestus-mqmqa-public/releases/tag/v0.4.0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v0.4.0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1510"/>
    <w:bookmarkStart w:id="1511" w:name="language"/>
    <w:p>
      <w:pPr>
        <w:pStyle w:val="Heading3"/>
      </w:pPr>
      <w:r>
        <w:t xml:space="preserve">Language</w:t>
      </w:r>
    </w:p>
    <w:p>
      <w:pPr>
        <w:pStyle w:val="FirstParagraph"/>
      </w:pPr>
      <w:r>
        <w:t xml:space="preserve">English.</w:t>
      </w:r>
    </w:p>
    <w:bookmarkEnd w:id="1511"/>
    <w:bookmarkEnd w:id="1512"/>
    <w:bookmarkStart w:id="1523" w:name="reuse-potential"/>
    <w:p>
      <w:pPr>
        <w:pStyle w:val="Heading2"/>
      </w:pPr>
      <w:r>
        <w:t xml:space="preserve">(3) Reuse potential</w:t>
      </w:r>
    </w:p>
    <w:p>
      <w:pPr>
        <w:pStyle w:val="FirstParagraph"/>
      </w:pPr>
      <w:r>
        <w:t xml:space="preserve">The nearest reuse is interoperation.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application binary interface (ABI) covers database reading, phase and parameter access, Gibbs evaluation, and liquid equilibration, callable from C, Python, or anything with a C foreign-function interface. The WebAssembly build is that same ABI passed through emscripten.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1522" w:name="worked-examples"/>
    <w:p>
      <w:pPr>
        <w:pStyle w:val="Heading3"/>
      </w:pPr>
      <w:r>
        <w:t xml:space="preserve">Worked examples</w:t>
      </w:r>
    </w:p>
    <w:p>
      <w:pPr>
        <w:pStyle w:val="FirstParagraph"/>
      </w:pPr>
      <w:r>
        <w:t xml:space="preserve">Two complete sessions show the public API end to end. Both run against the shipped files as printed (the alloy session’s ten-line lower_hull helper is printed in the repository copy), and Figures 4 and 5 are drawn from their output by plotting scripts kept in the repository. The salt session calculates the LiCl-KCl phase diagram:</w:t>
      </w:r>
    </w:p>
    <w:p>
      <w:pPr>
        <w:pStyle w:val="SourceCode"/>
      </w:pPr>
      <w:r>
        <w:rPr>
          <w:rStyle w:val="VerbatimChar"/>
        </w:rPr>
        <w:t xml:space="preserve">import numpy as np</w:t>
      </w:r>
      <w:r>
        <w:br/>
      </w:r>
      <w:r>
        <w:br/>
      </w: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temperature and composition steps,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at this deliberately coarse step size, against the measured 0.415 and 626 K; Figure 4 is the diagram it draws.</w:t>
      </w:r>
    </w:p>
    <w:p>
      <w:pPr>
        <w:pStyle w:val="CaptionedFigure"/>
      </w:pPr>
      <w:r>
        <w:drawing>
          <wp:inline>
            <wp:extent cx="4206240" cy="3262561"/>
            <wp:effectExtent b="0" l="0" r="0" t="0"/>
            <wp:docPr descr="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 title="" id="1514" name="Picture"/>
            <a:graphic>
              <a:graphicData uri="http://schemas.openxmlformats.org/drawingml/2006/picture">
                <pic:pic>
                  <pic:nvPicPr>
                    <pic:cNvPr descr="figures/fig4_salt_example.png" id="1515" name="Picture"/>
                    <pic:cNvPicPr>
                      <a:picLocks noChangeArrowheads="1" noChangeAspect="1"/>
                    </pic:cNvPicPr>
                  </pic:nvPicPr>
                  <pic:blipFill>
                    <a:blip r:embed="rId1513"/>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w:t>
      </w:r>
    </w:p>
    <w:p>
      <w:pPr>
        <w:pStyle w:val="BodyText"/>
      </w:pPr>
      <w:r>
        <w:t xml:space="preserve">The alloy session reads the Thermo-Calc dialect through the same API and calculates the Al-Zn diagram with a ten-line convex hull:</w:t>
      </w:r>
    </w:p>
    <w:p>
      <w:pPr>
        <w:pStyle w:val="SourceCode"/>
      </w:pPr>
      <w:r>
        <w:rPr>
          <w:rStyle w:val="VerbatimChar"/>
        </w:rPr>
        <w:t xml:space="preserve">import numpy as np</w:t>
      </w:r>
      <w:r>
        <w:br/>
      </w:r>
      <w:r>
        <w:br/>
      </w: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[39] (Figure 5). The shipped AlZn.tdb is itself an openly licensed transcription of that published assessment on the Scientific Group Thermodata Europe (SGTE) unary functions [41],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262561"/>
            <wp:effectExtent b="0" l="0" r="0" t="0"/>
            <wp:docPr descr="Figure 5: The Al-Zn phase diagram calculated by the alloy listing from the shipped open TDB. Light to dark: liquid, liquid plus solid, and solid fields. The dot is the calculated eutectic (0.890, 660 K); the star is the assessed eutectic (0.885, 654 K)." title="" id="1517" name="Picture"/>
            <a:graphic>
              <a:graphicData uri="http://schemas.openxmlformats.org/drawingml/2006/picture">
                <pic:pic>
                  <pic:nvPicPr>
                    <pic:cNvPr descr="figures/fig5_alloy_example.png" id="1518" name="Picture"/>
                    <pic:cNvPicPr>
                      <a:picLocks noChangeArrowheads="1" noChangeAspect="1"/>
                    </pic:cNvPicPr>
                  </pic:nvPicPr>
                  <pic:blipFill>
                    <a:blip r:embed="rId1516"/>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5: The Al-Zn phase diagram calculated by the alloy listing from the shipped open TDB. Light to dark: liquid, liquid plus solid, and solid fields. The dot is the calculated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databases carry per-value provenance but not parameter uncertainties; refitting the same measured-data tables through ESPEI [10] to obtain Bayesian uncertainty bounds is a natural continuation. A first reach into the combustion school is already in the library. The engine reads NASA 7-coefficient polynomial thermochemistry, the open format of NASA CEA [42] and GRI-Mech [43], and solves ideal-gas equilibrium at fixed temperature and pressure by the element-potential method, validated against Cantera [40] to 10</w:t>
      </w:r>
      <w:r>
        <w:rPr>
          <w:vertAlign w:val="superscript"/>
        </w:rPr>
        <w:t xml:space="preserve">-10</w:t>
      </w:r>
      <w:r>
        <w:t xml:space="preserve"> </w:t>
      </w:r>
      <w:r>
        <w:t xml:space="preserve">mole fraction from 1200 to 3000 K and 0.1 to 10 atm. The same solver is compiled into the WebAssembly core, so it runs in the browser gas calculator alongside the condensed engine. For the dense conditions of pressurized reactors and gasifiers, a Peng-Robinson real-gas option applies fugacity corrections from tabulated critical constants, validated against Cantera’s own Peng-Robinson and reducing to the ideal result at atmospheric pressure. Coupling the gas to a molten oxide, for pyrometallurgical oxygen potentials, is the step still in progress. The uTDB grammar already defines the ideal-gas phase, so a single file can in principle carry an alloy, a slag, its solids, and a gas.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The steelmaking file is the clearest illustration of what a unified container buys (Figure 6): from one file the browser calculates the iron-carbon alloy diagram through the magnetic compound energy formalism and its Scheil solidification path, while the same file’s slag is a molten-salt-model liquid, two physics that no single legacy container holds together.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p>
      <w:pPr>
        <w:pStyle w:val="CaptionedFigure"/>
      </w:pPr>
      <w:r>
        <w:drawing>
          <wp:inline>
            <wp:extent cx="5334000" cy="4430576"/>
            <wp:effectExtent b="0" l="0" r="0" t="0"/>
            <wp:docPr descr="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 title="" id="1520" name="Picture"/>
            <a:graphic>
              <a:graphicData uri="http://schemas.openxmlformats.org/drawingml/2006/picture">
                <pic:pic>
                  <pic:nvPicPr>
                    <pic:cNvPr descr="figures/fig6_utdb_steel.png" id="1521" name="Picture"/>
                    <pic:cNvPicPr>
                      <a:picLocks noChangeArrowheads="1" noChangeAspect="1"/>
                    </pic:cNvPicPr>
                  </pic:nvPicPr>
                  <pic:blipFill>
                    <a:blip r:embed="rId1519"/>
                    <a:stretch>
                      <a:fillRect/>
                    </a:stretch>
                  </pic:blipFill>
                  <pic:spPr bwMode="auto">
                    <a:xfrm>
                      <a:off x="0" y="0"/>
                      <a:ext cx="5334000" cy="4430576"/>
                    </a:xfrm>
                    <a:prstGeom prst="rect">
                      <a:avLst/>
                    </a:prstGeom>
                    <a:noFill/>
                    <a:ln w="9525">
                      <a:noFill/>
                      <a:headEnd/>
                      <a:tailEnd/>
                    </a:ln>
                  </pic:spPr>
                </pic:pic>
              </a:graphicData>
            </a:graphic>
          </wp:inline>
        </w:drawing>
      </w:r>
    </w:p>
    <w:p>
      <w:pPr>
        <w:pStyle w:val="ImageCaption"/>
      </w:pPr>
      <w:r>
        <w:t xml:space="preserve">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w:t>
      </w:r>
    </w:p>
    <w:p>
      <w:pPr>
        <w:pStyle w:val="BodyText"/>
      </w:pPr>
      <w:r>
        <w:t xml:space="preserve">The gap this work addresses was never the model, which has been published for two decades, but an open, runnable pairing of model and parameters. Hephaestus supplies both halves under open licenses and puts them behind a browser page that asks nothing of its user. The claims are checkable end to end. Release v0.4.0 archives the exact version described, and the 114-test suite reruns the pycalphad comparisons on any machine. The worked examples print the figures shown, and every parameter in every shipped database traces to a published measurement through its provenance file. A reader who doubts a number can recalculate it; one who needs a system that is missing can build it with the same open tools, or ask.</w:t>
      </w:r>
    </w:p>
    <w:bookmarkEnd w:id="1522"/>
    <w:bookmarkEnd w:id="1523"/>
    <w:bookmarkStart w:id="1524"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v0.4.0. The database files and their provenance records are in the repository’s data directory under CC BY 4.0.</w:t>
      </w:r>
    </w:p>
    <w:bookmarkEnd w:id="1524"/>
    <w:bookmarkStart w:id="1525"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1525"/>
    <w:bookmarkStart w:id="1526" w:name="funding-statement"/>
    <w:p>
      <w:pPr>
        <w:pStyle w:val="Heading2"/>
      </w:pPr>
      <w:r>
        <w:t xml:space="preserve">Funding statement</w:t>
      </w:r>
    </w:p>
    <w:p>
      <w:pPr>
        <w:pStyle w:val="FirstParagraph"/>
      </w:pPr>
      <w:r>
        <w:t xml:space="preserve">The development of this software received no external funding.</w:t>
      </w:r>
    </w:p>
    <w:bookmarkEnd w:id="1526"/>
    <w:bookmarkStart w:id="1527"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1527"/>
    <w:bookmarkStart w:id="1528"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Jain A, Ong SP, Hautier G, Chen W, Richards WD, Dacek S, et al. Commentary: The Materials Project: A materials genome approach to accelerating materials innovation. APL Mater. 2013;1(1):011002. doi:10.1063/1.4812323</w:t>
      </w:r>
    </w:p>
    <w:p>
      <w:pPr>
        <w:pStyle w:val="BodyText"/>
      </w:pPr>
      <w:r>
        <w:t xml:space="preserve">[17] Hillert M. The compound energy formalism. Journal of Alloys and Compounds. 2001 May;320(2):161–76. doi:10.1016/S0925-8388(00)01481-X</w:t>
      </w:r>
    </w:p>
    <w:p>
      <w:pPr>
        <w:pStyle w:val="BodyText"/>
      </w:pPr>
      <w:r>
        <w:t xml:space="preserve">[18] Eriksson G, Hack K. ChemSage - A computer program for the calculation of complex chemical equilibria. Metall Trans B. 1990 Dec;21(6):1013-23. doi:10.1007/BF02670272</w:t>
      </w:r>
    </w:p>
    <w:p>
      <w:pPr>
        <w:pStyle w:val="BodyText"/>
      </w:pPr>
      <w:r>
        <w:t xml:space="preserve">[19]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[20] Chase MW Jr. NIST-JANAF Thermochemical Tables, 4th edition. Journal of Physical and Chemical Reference Data, Monograph 9. Woodbury, NY: American Institute of Physics; 1998.</w:t>
      </w:r>
    </w:p>
    <w:p>
      <w:pPr>
        <w:pStyle w:val="BodyText"/>
      </w:pPr>
      <w:r>
        <w:t xml:space="preserve">[21] Kay DAR, Taylor J. Activities of silica in the lime + alumina + silica system. Trans Faraday Soc. 1960;56:1372. doi:10.1039/tf9605601372</w:t>
      </w:r>
    </w:p>
    <w:p>
      <w:pPr>
        <w:pStyle w:val="BodyText"/>
      </w:pPr>
      <w:r>
        <w:t xml:space="preserve">[22] Stolyarova VL, Shornikov SI, Ivanov GG, Shultz MM. High Temperature Mass Spectrometric Study of Thermodynamic Properties of the CaO-SiO2 System. J Electrochem Soc. 1991 Dec 1;138(12):3710–4. doi:10.1149/1.2085485</w:t>
      </w:r>
    </w:p>
    <w:p>
      <w:pPr>
        <w:pStyle w:val="BodyText"/>
      </w:pPr>
      <w:r>
        <w:t xml:space="preserve">[23] Björkman B. An assessment of the system Fe-O-SiO2 using a structure based model for the liquid silicate. Calphad. 1985 Jul;9(3):271–82. doi:10.1016/0364-5916(85)90012-4</w:t>
      </w:r>
    </w:p>
    <w:p>
      <w:pPr>
        <w:pStyle w:val="BodyText"/>
      </w:pPr>
      <w:r>
        <w:t xml:space="preserve">[24] Bowen NL, Schairer JF. The system MgO-FeO-SiO2. American Journal of Science. 1935 Feb 1;s5-29(170):151–217. doi:10.2475/ajs.s5-29.170.151</w:t>
      </w:r>
    </w:p>
    <w:p>
      <w:pPr>
        <w:pStyle w:val="BodyText"/>
      </w:pPr>
      <w:r>
        <w:t xml:space="preserve">[25] Greig JW. Immiscibility in silicate melts; Part I. American Journal of Science. 1927 Jan 1;s5-13(73):1–44. doi:10.2475/ajs.s5-13.73.1</w:t>
      </w:r>
    </w:p>
    <w:p>
      <w:pPr>
        <w:pStyle w:val="BodyText"/>
      </w:pPr>
      <w:r>
        <w:t xml:space="preserve">[26] Greig JW. Immiscibility in silicate melts; Part II. American Journal of Science. 1927 Feb 1;s5-13(74):133–54. doi:10.2475/ajs.s5-13.74.133</w:t>
      </w:r>
    </w:p>
    <w:p>
      <w:pPr>
        <w:pStyle w:val="BodyText"/>
      </w:pPr>
      <w:r>
        <w:t xml:space="preserve">[27]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[28] Yang H, Hu C, Zhou Y, Liu X, Shi Y, Li J, et al. MatterSim: A Deep Learning Atomistic Model Across Elements, Temperatures and Pressures. arXiv; 2024. doi:10.48550/ARXIV.2405.04967</w:t>
      </w:r>
    </w:p>
    <w:p>
      <w:pPr>
        <w:pStyle w:val="BodyText"/>
      </w:pPr>
      <w:r>
        <w:t xml:space="preserve">[29] Neumann M, Gin J, Rhodes B, Bennett S, Li Z, Choubisa H, et al. Orb: A Fast, Scalable Neural Network Potential. arXiv; 2024. doi:10.48550/ARXIV.2410.22570</w:t>
      </w:r>
    </w:p>
    <w:p>
      <w:pPr>
        <w:pStyle w:val="BodyText"/>
      </w:pPr>
      <w:r>
        <w:t xml:space="preserve">[30] Giannozzi P, Baroni S, Bonini N, Calandra M, Car R, Cavazzoni C, et al. QUANTUM ESPRESSO: a modular and open-source software project for quantum simulations of materials. J Phys Condens Matter. 2009;21(39):395502. doi:10.1088/0953-8984/21/39/395502</w:t>
      </w:r>
    </w:p>
    <w:p>
      <w:pPr>
        <w:pStyle w:val="BodyText"/>
      </w:pPr>
      <w:r>
        <w:t xml:space="preserve">[31] Kresse G, Furthmüller J. Efficient iterative schemes for ab initio total-energy calculations using a plane-wave basis set. Phys Rev B. 1996 Oct;54(16):11169-86. doi:10.1103/PhysRevB.54.11169</w:t>
      </w:r>
    </w:p>
    <w:p>
      <w:pPr>
        <w:pStyle w:val="BodyText"/>
      </w:pPr>
      <w:r>
        <w:t xml:space="preserve">[32] Park Y, Kim J, Hwang S, Han S. Scalable Parallel Algorithm for Graph Neural Network Interatomic Potentials in Molecular Dynamics Simulations. J Chem Theory Comput. 2024;20(13):4857-68. doi:10.1021/acs.jctc.4c00190</w:t>
      </w:r>
    </w:p>
    <w:p>
      <w:pPr>
        <w:pStyle w:val="BodyText"/>
      </w:pPr>
      <w:r>
        <w:t xml:space="preserve">[33] Wood BJ, Kleppa OJ. Thermochemistry of forsterite-fayalite olivine solutions. Geochimica et Cosmochimica Acta. 1981 Apr;45(4):529–34. doi:10.1016/0016-7037(81)90185-X</w:t>
      </w:r>
    </w:p>
    <w:p>
      <w:pPr>
        <w:pStyle w:val="BodyText"/>
      </w:pPr>
      <w:r>
        <w:t xml:space="preserve">[34]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[35] Barin I. Thermochemical Data of Pure Substances. 3rd ed. Weinheim: VCH; 1995. doi:10.1002/9783527619825</w:t>
      </w:r>
    </w:p>
    <w:p>
      <w:pPr>
        <w:pStyle w:val="BodyText"/>
      </w:pPr>
      <w:r>
        <w:t xml:space="preserve">[36] Hersh LS, Kleppa OJ. Enthalpies of Mixing in Some Binary Liquid Halide Mixtures. J Chem Phys. 1965;42:1309. doi:10.1063/1.1696115</w:t>
      </w:r>
    </w:p>
    <w:p>
      <w:pPr>
        <w:pStyle w:val="BodyText"/>
      </w:pPr>
      <w:r>
        <w:t xml:space="preserve">[37] Sangster J, Pelton AD. Phase Diagrams and Thermodynamic Properties of the 70 Binary Alkali Halide Systems Having Common Ions. J Phys Chem Ref Data. 1987;16:509. doi:10.1063/1.555803</w:t>
      </w:r>
    </w:p>
    <w:p>
      <w:pPr>
        <w:pStyle w:val="BodyText"/>
      </w:pPr>
      <w:r>
        <w:t xml:space="preserve">[38] Ard JC, Yingling JA, Johnson TJ, Schorne-Pinto J, Aziziha M, Dixon CM, et al. Development of the Molten Salt Thermal Properties Database - Thermochemical (MSTDB-TC), example applications, and LiCl-RbCl and UF3-UF4 system assessments. J Nucl Mater. 2022 May;563:153631. doi:10.1016/j.jnucmat.2022.153631</w:t>
      </w:r>
    </w:p>
    <w:p>
      <w:pPr>
        <w:pStyle w:val="BodyText"/>
      </w:pPr>
      <w:r>
        <w:t xml:space="preserve">[39] an Mey S. Reevaluation of the Al-Zn system. Z Metallkd. 1993;84(7):451-5. doi:10.1515/ijmr-1993-840704</w:t>
      </w:r>
    </w:p>
    <w:p>
      <w:pPr>
        <w:pStyle w:val="BodyText"/>
      </w:pPr>
      <w:r>
        <w:t xml:space="preserve">[40] Goodwin DG, Moffat HK, Schoegl I, Speth RL, Weber BW. Cantera: An Object-oriented Software Toolkit for Chemical Kinetics, Thermodynamics, and Transport Processes. Version 3.1.0; 2024. doi:10.5281/zenodo.14455267</w:t>
      </w:r>
    </w:p>
    <w:p>
      <w:pPr>
        <w:pStyle w:val="BodyText"/>
      </w:pPr>
      <w:r>
        <w:t xml:space="preserve">[41] Dinsdale AT. SGTE data for pure elements. Calphad. 1991 Oct;15(4):317-425. doi:10.1016/0364-5916(91)90030-N</w:t>
      </w:r>
    </w:p>
    <w:p>
      <w:pPr>
        <w:pStyle w:val="BodyText"/>
      </w:pPr>
      <w:r>
        <w:t xml:space="preserve">[42] McBride BJ, Zehe MJ, Gordon S. NASA Glenn Coefficients for Calculating Thermodynamic Properties of Individual Species. NASA/TP-2002-211556. Cleveland (OH): NASA Glenn Research Center; 2002.</w:t>
      </w:r>
    </w:p>
    <w:p>
      <w:pPr>
        <w:pStyle w:val="BodyText"/>
      </w:pPr>
      <w:r>
        <w:t xml:space="preserve">[43] Smith GP, Golden DM, Frenklach M, Moriarty NW, Eiteneer B, Goldenberg M, et al. GRI-Mech 3.0 [Internet]. 1999. Available from: http://combustion.berkeley.edu/gri-mech/</w:t>
      </w:r>
    </w:p>
    <w:bookmarkEnd w:id="1528"/>
    <w:bookmarkEnd w:id="15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490" Target="numbering.xml" /><Relationship Type="http://schemas.openxmlformats.org/officeDocument/2006/relationships/styles" Id="rId1489" Target="styles.xml" /><Relationship Type="http://schemas.openxmlformats.org/officeDocument/2006/relationships/settings" Id="rId1488" Target="settings.xml" /><Relationship Type="http://schemas.openxmlformats.org/officeDocument/2006/relationships/webSettings" Id="rId1487" Target="webSettings.xml" /><Relationship Type="http://schemas.openxmlformats.org/officeDocument/2006/relationships/fontTable" Id="rId1486" Target="fontTable.xml" /><Relationship Type="http://schemas.openxmlformats.org/officeDocument/2006/relationships/theme" Id="rId1485" Target="theme/theme1.xml" /><Relationship Type="http://schemas.openxmlformats.org/officeDocument/2006/relationships/footnotes" Id="rId1484" Target="footnotes.xml" /><Relationship Type="http://schemas.openxmlformats.org/officeDocument/2006/relationships/comments" Id="rId1483"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Id="rId1094" Target="media/rId1094.png" Type="http://schemas.openxmlformats.org/officeDocument/2006/relationships/image" /><Relationship Id="rId1097" Target="media/rId1097.png" Type="http://schemas.openxmlformats.org/officeDocument/2006/relationships/image" /><Relationship Id="rId1100" Target="media/rId1100.png" Type="http://schemas.openxmlformats.org/officeDocument/2006/relationships/image" /><Relationship Id="rId1115" Target="media/rId1115.png" Type="http://schemas.openxmlformats.org/officeDocument/2006/relationships/image" /><Relationship Id="rId1118" Target="media/rId1118.png" Type="http://schemas.openxmlformats.org/officeDocument/2006/relationships/image" /><Relationship Id="rId1128" Target="media/rId1128.png" Type="http://schemas.openxmlformats.org/officeDocument/2006/relationships/image" /><Relationship Id="rId1131" Target="media/rId1131.png" Type="http://schemas.openxmlformats.org/officeDocument/2006/relationships/image" /><Relationship Id="rId1134" Target="media/rId1134.png" Type="http://schemas.openxmlformats.org/officeDocument/2006/relationships/image" /><Relationship Id="rId1149" Target="media/rId1149.png" Type="http://schemas.openxmlformats.org/officeDocument/2006/relationships/image" /><Relationship Id="rId1152" Target="media/rId1152.png" Type="http://schemas.openxmlformats.org/officeDocument/2006/relationships/image" /><Relationship Id="rId1162" Target="media/rId1162.png" Type="http://schemas.openxmlformats.org/officeDocument/2006/relationships/image" /><Relationship Id="rId1165" Target="media/rId1165.png" Type="http://schemas.openxmlformats.org/officeDocument/2006/relationships/image" /><Relationship Id="rId1168" Target="media/rId1168.png" Type="http://schemas.openxmlformats.org/officeDocument/2006/relationships/image" /><Relationship Id="rId1183" Target="media/rId1183.png" Type="http://schemas.openxmlformats.org/officeDocument/2006/relationships/image" /><Relationship Id="rId1186" Target="media/rId1186.png" Type="http://schemas.openxmlformats.org/officeDocument/2006/relationships/image" /><Relationship Id="rId1196" Target="media/rId1196.png" Type="http://schemas.openxmlformats.org/officeDocument/2006/relationships/image" /><Relationship Id="rId1199" Target="media/rId1199.png" Type="http://schemas.openxmlformats.org/officeDocument/2006/relationships/image" /><Relationship Id="rId1202" Target="media/rId1202.png" Type="http://schemas.openxmlformats.org/officeDocument/2006/relationships/image" /><Relationship Id="rId1217" Target="media/rId1217.png" Type="http://schemas.openxmlformats.org/officeDocument/2006/relationships/image" /><Relationship Id="rId1220" Target="media/rId1220.png" Type="http://schemas.openxmlformats.org/officeDocument/2006/relationships/image" /><Relationship Id="rId1223" Target="media/rId1223.png" Type="http://schemas.openxmlformats.org/officeDocument/2006/relationships/image" /><Relationship Id="rId1233" Target="media/rId1233.png" Type="http://schemas.openxmlformats.org/officeDocument/2006/relationships/image" /><Relationship Id="rId1236" Target="media/rId1236.png" Type="http://schemas.openxmlformats.org/officeDocument/2006/relationships/image" /><Relationship Id="rId1239" Target="media/rId1239.png" Type="http://schemas.openxmlformats.org/officeDocument/2006/relationships/image" /><Relationship Id="rId1254" Target="media/rId1254.png" Type="http://schemas.openxmlformats.org/officeDocument/2006/relationships/image" /><Relationship Id="rId1257" Target="media/rId1257.png" Type="http://schemas.openxmlformats.org/officeDocument/2006/relationships/image" /><Relationship Id="rId1260" Target="media/rId1260.png" Type="http://schemas.openxmlformats.org/officeDocument/2006/relationships/image" /><Relationship Id="rId1270" Target="media/rId1270.png" Type="http://schemas.openxmlformats.org/officeDocument/2006/relationships/image" /><Relationship Id="rId1273" Target="media/rId1273.png" Type="http://schemas.openxmlformats.org/officeDocument/2006/relationships/image" /><Relationship Id="rId1276" Target="media/rId1276.png" Type="http://schemas.openxmlformats.org/officeDocument/2006/relationships/image" /><Relationship Id="rId1291" Target="media/rId1291.png" Type="http://schemas.openxmlformats.org/officeDocument/2006/relationships/image" /><Relationship Id="rId1294" Target="media/rId1294.png" Type="http://schemas.openxmlformats.org/officeDocument/2006/relationships/image" /><Relationship Id="rId1297" Target="media/rId1297.png" Type="http://schemas.openxmlformats.org/officeDocument/2006/relationships/image" /><Relationship Id="rId1307" Target="media/rId1307.png" Type="http://schemas.openxmlformats.org/officeDocument/2006/relationships/image" /><Relationship Id="rId1310" Target="media/rId1310.png" Type="http://schemas.openxmlformats.org/officeDocument/2006/relationships/image" /><Relationship Id="rId1313" Target="media/rId1313.png" Type="http://schemas.openxmlformats.org/officeDocument/2006/relationships/image" /><Relationship Id="rId1328" Target="media/rId1328.png" Type="http://schemas.openxmlformats.org/officeDocument/2006/relationships/image" /><Relationship Id="rId1331" Target="media/rId1331.png" Type="http://schemas.openxmlformats.org/officeDocument/2006/relationships/image" /><Relationship Id="rId1334" Target="media/rId1334.png" Type="http://schemas.openxmlformats.org/officeDocument/2006/relationships/image" /><Relationship Id="rId1344" Target="media/rId1344.png" Type="http://schemas.openxmlformats.org/officeDocument/2006/relationships/image" /><Relationship Id="rId1347" Target="media/rId1347.png" Type="http://schemas.openxmlformats.org/officeDocument/2006/relationships/image" /><Relationship Id="rId1350" Target="media/rId1350.png" Type="http://schemas.openxmlformats.org/officeDocument/2006/relationships/image" /><Relationship Id="rId1365" Target="media/rId1365.png" Type="http://schemas.openxmlformats.org/officeDocument/2006/relationships/image" /><Relationship Id="rId1368" Target="media/rId1368.png" Type="http://schemas.openxmlformats.org/officeDocument/2006/relationships/image" /><Relationship Id="rId1371" Target="media/rId1371.png" Type="http://schemas.openxmlformats.org/officeDocument/2006/relationships/image" /><Relationship Id="rId1381" Target="media/rId1381.png" Type="http://schemas.openxmlformats.org/officeDocument/2006/relationships/image" /><Relationship Id="rId1384" Target="media/rId1384.png" Type="http://schemas.openxmlformats.org/officeDocument/2006/relationships/image" /><Relationship Id="rId1387" Target="media/rId1387.png" Type="http://schemas.openxmlformats.org/officeDocument/2006/relationships/image" /><Relationship Id="rId1402" Target="media/rId1402.png" Type="http://schemas.openxmlformats.org/officeDocument/2006/relationships/image" /><Relationship Id="rId1405" Target="media/rId1405.png" Type="http://schemas.openxmlformats.org/officeDocument/2006/relationships/image" /><Relationship Id="rId1408" Target="media/rId1408.png" Type="http://schemas.openxmlformats.org/officeDocument/2006/relationships/image" /><Relationship Id="rId1418" Target="media/rId1418.png" Type="http://schemas.openxmlformats.org/officeDocument/2006/relationships/image" /><Relationship Id="rId1421" Target="media/rId1421.png" Type="http://schemas.openxmlformats.org/officeDocument/2006/relationships/image" /><Relationship Id="rId1424" Target="media/rId1424.png" Type="http://schemas.openxmlformats.org/officeDocument/2006/relationships/image" /><Relationship Id="rId1439" Target="media/rId1439.png" Type="http://schemas.openxmlformats.org/officeDocument/2006/relationships/image" /><Relationship Id="rId1442" Target="media/rId1442.png" Type="http://schemas.openxmlformats.org/officeDocument/2006/relationships/image" /><Relationship Id="rId1445" Target="media/rId1445.png" Type="http://schemas.openxmlformats.org/officeDocument/2006/relationships/image" /><Relationship Id="rId1455" Target="media/rId1455.png" Type="http://schemas.openxmlformats.org/officeDocument/2006/relationships/image" /><Relationship Id="rId1458" Target="media/rId1458.png" Type="http://schemas.openxmlformats.org/officeDocument/2006/relationships/image" /><Relationship Id="rId1461" Target="media/rId1461.png" Type="http://schemas.openxmlformats.org/officeDocument/2006/relationships/image" /><Relationship Id="rId1476" Target="media/rId1476.png" Type="http://schemas.openxmlformats.org/officeDocument/2006/relationships/image" /><Relationship Id="rId1479" Target="media/rId1479.png" Type="http://schemas.openxmlformats.org/officeDocument/2006/relationships/image" /><Relationship Id="rId1482" Target="media/rId1482.png" Type="http://schemas.openxmlformats.org/officeDocument/2006/relationships/image" /><Relationship Type="http://schemas.openxmlformats.org/officeDocument/2006/relationships/image" Id="rId1492" Target="media/rId1492.png" /><Relationship Type="http://schemas.openxmlformats.org/officeDocument/2006/relationships/image" Id="rId1495" Target="media/rId1495.png" /><Relationship Type="http://schemas.openxmlformats.org/officeDocument/2006/relationships/image" Id="rId1498" Target="media/rId1498.png" /><Relationship Type="http://schemas.openxmlformats.org/officeDocument/2006/relationships/image" Id="rId1513" Target="media/rId1513.png" /><Relationship Type="http://schemas.openxmlformats.org/officeDocument/2006/relationships/image" Id="rId1516" Target="media/rId1516.png" /><Relationship Type="http://schemas.openxmlformats.org/officeDocument/2006/relationships/image" Id="rId1519" Target="media/rId15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2026-09-07T02:09:22Z</dcterms:created>
  <dcterms:modified xsi:type="dcterms:W3CDTF">2026-09-07T02:09:22Z</dcterms:modified>
</cp:coreProperties>
</file>

<file path=docProps/custom.xml><?xml version="1.0" encoding="utf-8"?>
<Properties xmlns="http://schemas.openxmlformats.org/officeDocument/2006/custom-properties" xmlns:vt="http://schemas.openxmlformats.org/officeDocument/2006/docPropsVTypes"/>
</file>