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4.png" ContentType="image/png"/>
  <Override PartName="/word/media/rId1347.png" ContentType="image/png"/>
  <Override PartName="/word/media/rId1350.png" ContentType="image/png"/>
  <Override PartName="/word/media/rId1365.png" ContentType="image/png"/>
  <Override PartName="/word/media/rId1368.png" ContentType="image/png"/>
  <Override PartName="/word/media/rId13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1"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356" w:name="overview"/>
    <w:p>
      <w:pPr>
        <w:pStyle w:val="Heading2"/>
      </w:pPr>
      <w:r>
        <w:t xml:space="preserve">(1) Overview</w:t>
      </w:r>
    </w:p>
    <w:bookmarkStart w:id="134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343"/>
    <w:bookmarkStart w:id="135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345" name="Picture"/>
            <a:graphic>
              <a:graphicData uri="http://schemas.openxmlformats.org/drawingml/2006/picture">
                <pic:pic>
                  <pic:nvPicPr>
                    <pic:cNvPr descr="figures/fig1_architecture.png" id="1346" name="Picture"/>
                    <pic:cNvPicPr>
                      <a:picLocks noChangeArrowheads="1" noChangeAspect="1"/>
                    </pic:cNvPicPr>
                  </pic:nvPicPr>
                  <pic:blipFill>
                    <a:blip r:embed="rId134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about a second, for the shipped ternaries or for any loaded three-cation file (Figure 2). An interactive eutectic builder pre-fills its component names, melting points, and fusion enthalpies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348" name="Picture"/>
            <a:graphic>
              <a:graphicData uri="http://schemas.openxmlformats.org/drawingml/2006/picture">
                <pic:pic>
                  <pic:nvPicPr>
                    <pic:cNvPr descr="figures/fig2_browser_app.png" id="1349" name="Picture"/>
                    <pic:cNvPicPr>
                      <a:picLocks noChangeArrowheads="1" noChangeAspect="1"/>
                    </pic:cNvPicPr>
                  </pic:nvPicPr>
                  <pic:blipFill>
                    <a:blip r:embed="rId1347"/>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351" name="Picture"/>
            <a:graphic>
              <a:graphicData uri="http://schemas.openxmlformats.org/drawingml/2006/picture">
                <pic:pic>
                  <pic:nvPicPr>
                    <pic:cNvPr descr="figures/fig3_ternary.png" id="1352" name="Picture"/>
                    <pic:cNvPicPr>
                      <a:picLocks noChangeArrowheads="1" noChangeAspect="1"/>
                    </pic:cNvPicPr>
                  </pic:nvPicPr>
                  <pic:blipFill>
                    <a:blip r:embed="rId135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353"/>
    <w:bookmarkStart w:id="135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354"/>
    <w:bookmarkStart w:id="135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109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 (library)</w:t>
            </w:r>
          </w:p>
        </w:tc>
        <w:tc>
          <w:tcPr/>
          <w:p>
            <w:pPr>
              <w:pStyle w:val="Compact"/>
              <w:jc w:val="left"/>
            </w:pPr>
            <w:r>
              <w:t xml:space="preserve">NASA-polynomial ideal-gas equilibria, C-H-O feeds</w:t>
            </w:r>
          </w:p>
        </w:tc>
        <w:tc>
          <w:tcPr/>
          <w:p>
            <w:pPr>
              <w:pStyle w:val="Compact"/>
              <w:jc w:val="left"/>
            </w:pPr>
            <w:r>
              <w:t xml:space="preserve">Cantera [40] parity to 10</w:t>
            </w:r>
            <w:r>
              <w:rPr>
                <w:vertAlign w:val="superscript"/>
              </w:rPr>
              <w:t xml:space="preserve">-10</w:t>
            </w:r>
            <w:r>
              <w:t xml:space="preserve"> </w:t>
            </w:r>
            <w:r>
              <w:t xml:space="preserve">mole fraction, 1200-3000 K, 0.1-10 atm</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355"/>
    <w:bookmarkEnd w:id="1356"/>
    <w:bookmarkStart w:id="1364" w:name="availability"/>
    <w:p>
      <w:pPr>
        <w:pStyle w:val="Heading2"/>
      </w:pPr>
      <w:r>
        <w:t xml:space="preserve">(2) Availability</w:t>
      </w:r>
    </w:p>
    <w:bookmarkStart w:id="135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357"/>
    <w:bookmarkStart w:id="135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358"/>
    <w:bookmarkStart w:id="135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359"/>
    <w:bookmarkStart w:id="136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360"/>
    <w:bookmarkStart w:id="1361" w:name="list-of-contributors"/>
    <w:p>
      <w:pPr>
        <w:pStyle w:val="Heading3"/>
      </w:pPr>
      <w:r>
        <w:t xml:space="preserve">List of contributors</w:t>
      </w:r>
    </w:p>
    <w:p>
      <w:pPr>
        <w:pStyle w:val="FirstParagraph"/>
      </w:pPr>
      <w:r>
        <w:t xml:space="preserve">Michael E. Bustamante (design, implementation, validation, data curation).</w:t>
      </w:r>
    </w:p>
    <w:bookmarkEnd w:id="1361"/>
    <w:bookmarkStart w:id="136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362"/>
    <w:bookmarkStart w:id="1363" w:name="language"/>
    <w:p>
      <w:pPr>
        <w:pStyle w:val="Heading3"/>
      </w:pPr>
      <w:r>
        <w:t xml:space="preserve">Language</w:t>
      </w:r>
    </w:p>
    <w:p>
      <w:pPr>
        <w:pStyle w:val="FirstParagraph"/>
      </w:pPr>
      <w:r>
        <w:t xml:space="preserve">English.</w:t>
      </w:r>
    </w:p>
    <w:bookmarkEnd w:id="1363"/>
    <w:bookmarkEnd w:id="1364"/>
    <w:bookmarkStart w:id="1375"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374"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366" name="Picture"/>
            <a:graphic>
              <a:graphicData uri="http://schemas.openxmlformats.org/drawingml/2006/picture">
                <pic:pic>
                  <pic:nvPicPr>
                    <pic:cNvPr descr="figures/fig4_salt_example.png" id="1367" name="Picture"/>
                    <pic:cNvPicPr>
                      <a:picLocks noChangeArrowheads="1" noChangeAspect="1"/>
                    </pic:cNvPicPr>
                  </pic:nvPicPr>
                  <pic:blipFill>
                    <a:blip r:embed="rId136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369" name="Picture"/>
            <a:graphic>
              <a:graphicData uri="http://schemas.openxmlformats.org/drawingml/2006/picture">
                <pic:pic>
                  <pic:nvPicPr>
                    <pic:cNvPr descr="figures/fig5_alloy_example.png" id="1370" name="Picture"/>
                    <pic:cNvPicPr>
                      <a:picLocks noChangeArrowheads="1" noChangeAspect="1"/>
                    </pic:cNvPicPr>
                  </pic:nvPicPr>
                  <pic:blipFill>
                    <a:blip r:embed="rId136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This solver lives in the Python layer for now; its port to the WebAssembly core, and the coupling of the gas to the molten oxide for pyrometallurgical oxygen potentials, are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56265"/>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372" name="Picture"/>
            <a:graphic>
              <a:graphicData uri="http://schemas.openxmlformats.org/drawingml/2006/picture">
                <pic:pic>
                  <pic:nvPicPr>
                    <pic:cNvPr descr="figures/fig6_utdb_steel.png" id="1373" name="Picture"/>
                    <pic:cNvPicPr>
                      <a:picLocks noChangeArrowheads="1" noChangeAspect="1"/>
                    </pic:cNvPicPr>
                  </pic:nvPicPr>
                  <pic:blipFill>
                    <a:blip r:embed="rId1371"/>
                    <a:stretch>
                      <a:fillRect/>
                    </a:stretch>
                  </pic:blipFill>
                  <pic:spPr bwMode="auto">
                    <a:xfrm>
                      <a:off x="0" y="0"/>
                      <a:ext cx="5334000" cy="4756265"/>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374"/>
    <w:bookmarkEnd w:id="1375"/>
    <w:bookmarkStart w:id="1376"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376"/>
    <w:bookmarkStart w:id="1377"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377"/>
    <w:bookmarkStart w:id="1378" w:name="funding-statement"/>
    <w:p>
      <w:pPr>
        <w:pStyle w:val="Heading2"/>
      </w:pPr>
      <w:r>
        <w:t xml:space="preserve">Funding statement</w:t>
      </w:r>
    </w:p>
    <w:p>
      <w:pPr>
        <w:pStyle w:val="FirstParagraph"/>
      </w:pPr>
      <w:r>
        <w:t xml:space="preserve">The development of this software received no external funding.</w:t>
      </w:r>
    </w:p>
    <w:bookmarkEnd w:id="1378"/>
    <w:bookmarkStart w:id="1379"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379"/>
    <w:bookmarkStart w:id="1380"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380"/>
    <w:bookmarkEnd w:id="13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42" Target="numbering.xml" /><Relationship Type="http://schemas.openxmlformats.org/officeDocument/2006/relationships/styles" Id="rId1341" Target="styles.xml" /><Relationship Type="http://schemas.openxmlformats.org/officeDocument/2006/relationships/settings" Id="rId1340" Target="settings.xml" /><Relationship Type="http://schemas.openxmlformats.org/officeDocument/2006/relationships/webSettings" Id="rId1339" Target="webSettings.xml" /><Relationship Type="http://schemas.openxmlformats.org/officeDocument/2006/relationships/fontTable" Id="rId1338" Target="fontTable.xml" /><Relationship Type="http://schemas.openxmlformats.org/officeDocument/2006/relationships/theme" Id="rId1337" Target="theme/theme1.xml" /><Relationship Type="http://schemas.openxmlformats.org/officeDocument/2006/relationships/footnotes" Id="rId1336" Target="footnotes.xml" /><Relationship Type="http://schemas.openxmlformats.org/officeDocument/2006/relationships/comments" Id="rId133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Type="http://schemas.openxmlformats.org/officeDocument/2006/relationships/image" Id="rId1344" Target="media/rId1344.png" /><Relationship Type="http://schemas.openxmlformats.org/officeDocument/2006/relationships/image" Id="rId1347" Target="media/rId1347.png" /><Relationship Type="http://schemas.openxmlformats.org/officeDocument/2006/relationships/image" Id="rId1350" Target="media/rId1350.png" /><Relationship Type="http://schemas.openxmlformats.org/officeDocument/2006/relationships/image" Id="rId1365" Target="media/rId1365.png" /><Relationship Type="http://schemas.openxmlformats.org/officeDocument/2006/relationships/image" Id="rId1368" Target="media/rId1368.png" /><Relationship Type="http://schemas.openxmlformats.org/officeDocument/2006/relationships/image" Id="rId1371" Target="media/rId13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2026-09-04T20:12:41Z</dcterms:created>
  <dcterms:modified xsi:type="dcterms:W3CDTF">2026-09-04T20:12:41Z</dcterms:modified>
</cp:coreProperties>
</file>

<file path=docProps/custom.xml><?xml version="1.0" encoding="utf-8"?>
<Properties xmlns="http://schemas.openxmlformats.org/officeDocument/2006/custom-properties" xmlns:vt="http://schemas.openxmlformats.org/officeDocument/2006/docPropsVTypes"/>
</file>