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0.png" ContentType="image/png"/>
  <Override PartName="/word/media/rId553.png" ContentType="image/png"/>
  <Override PartName="/word/media/rId556.png" ContentType="image/png"/>
  <Override PartName="/word/media/rId571.png" ContentType="image/png"/>
  <Override PartName="/word/media/rId5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4" w:name="X356b170f064e9677b3a5f814002b4c3be46c723"/>
    <w:p>
      <w:pPr>
        <w:pStyle w:val="Heading1"/>
      </w:pPr>
      <w:r>
        <w:t xml:space="preserve">Hephaestus: an in-browser open-source engine and open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562" w:name="overview"/>
    <w:p>
      <w:pPr>
        <w:pStyle w:val="Heading2"/>
      </w:pPr>
      <w:r>
        <w:t xml:space="preserve">(1) Overview</w:t>
      </w:r>
    </w:p>
    <w:bookmarkStart w:id="549"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module GUIs over licensed closed databases, powerful in expert hands and licensed for institutions,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 rather than a vendor request.</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tblHeader w:val="on"/>
        </w:trPr>
        <w:tc>
          <w:tcPr/>
          <w:p>
            <w:pPr>
              <w:pStyle w:val="Compact"/>
            </w:pPr>
            <w:r>
              <w:t xml:space="preserve">School</w:t>
            </w:r>
          </w:p>
        </w:tc>
        <w:tc>
          <w:tcPr/>
          <w:p>
            <w:pPr>
              <w:pStyle w:val="Compact"/>
            </w:pPr>
            <w:r>
              <w:t xml:space="preserve">Native containers</w:t>
            </w:r>
          </w:p>
        </w:tc>
        <w:tc>
          <w:tcPr/>
          <w:p>
            <w:pPr>
              <w:pStyle w:val="Compact"/>
            </w:pPr>
            <w:r>
              <w:t xml:space="preserve">Carried by</w:t>
            </w:r>
          </w:p>
        </w:tc>
      </w:tr>
      <w:tr>
        <w:tc>
          <w:tcPr/>
          <w:p>
            <w:pPr>
              <w:pStyle w:val="Compact"/>
            </w:pPr>
            <w:r>
              <w:t xml:space="preserve">CALPHAD, ChemSage lineage</w:t>
            </w:r>
          </w:p>
        </w:tc>
        <w:tc>
          <w:tcPr/>
          <w:p>
            <w:pPr>
              <w:pStyle w:val="Compact"/>
            </w:pPr>
            <w:r>
              <w:t xml:space="preserve">ChemSage .dat</w:t>
            </w:r>
          </w:p>
        </w:tc>
        <w:tc>
          <w:tcPr/>
          <w:p>
            <w:pPr>
              <w:pStyle w:val="Compact"/>
            </w:pPr>
            <w:r>
              <w:t xml:space="preserve">FactSage, ChemApp, Thermochimica; the only legacy carrier of MQMQA melts</w:t>
            </w:r>
          </w:p>
        </w:tc>
      </w:tr>
      <w:tr>
        <w:tc>
          <w:tcPr/>
          <w:p>
            <w:pPr>
              <w:pStyle w:val="Compact"/>
            </w:pPr>
            <w:r>
              <w:t xml:space="preserve">CALPHAD, Thermo-Calc lineage</w:t>
            </w:r>
          </w:p>
        </w:tc>
        <w:tc>
          <w:tcPr/>
          <w:p>
            <w:pPr>
              <w:pStyle w:val="Compact"/>
            </w:pPr>
            <w:r>
              <w:t xml:space="preserve">TDB</w:t>
            </w:r>
          </w:p>
        </w:tc>
        <w:tc>
          <w:tcPr/>
          <w:p>
            <w:pPr>
              <w:pStyle w:val="Compact"/>
            </w:pPr>
            <w:r>
              <w:t xml:space="preserve">Thermo-Calc, OpenCalphad, pycalphad; alloy CEF</w:t>
            </w:r>
          </w:p>
        </w:tc>
      </w:tr>
      <w:tr>
        <w:tc>
          <w:tcPr/>
          <w:p>
            <w:pPr>
              <w:pStyle w:val="Compact"/>
            </w:pPr>
            <w:r>
              <w:t xml:space="preserve">CALPHAD, XML successor</w:t>
            </w:r>
          </w:p>
        </w:tc>
        <w:tc>
          <w:tcPr/>
          <w:p>
            <w:pPr>
              <w:pStyle w:val="Compact"/>
            </w:pPr>
            <w:r>
              <w:t xml:space="preserve">XTDB [15]</w:t>
            </w:r>
          </w:p>
        </w:tc>
        <w:tc>
          <w:tcPr/>
          <w:p>
            <w:pPr>
              <w:pStyle w:val="Compact"/>
            </w:pPr>
            <w:r>
              <w:t xml:space="preserve">proposed unified schema, MQMQA included</w:t>
            </w:r>
          </w:p>
        </w:tc>
      </w:tr>
      <w:tr>
        <w:tc>
          <w:tcPr/>
          <w:p>
            <w:pPr>
              <w:pStyle w:val="Compact"/>
            </w:pPr>
            <w:r>
              <w:t xml:space="preserve">Geochemical / aqueous</w:t>
            </w:r>
          </w:p>
        </w:tc>
        <w:tc>
          <w:tcPr/>
          <w:p>
            <w:pPr>
              <w:pStyle w:val="Compact"/>
            </w:pPr>
            <w:r>
              <w:t xml:space="preserve">GEMS containers, PhreeqC data files</w:t>
            </w:r>
          </w:p>
        </w:tc>
        <w:tc>
          <w:tcPr/>
          <w:p>
            <w:pPr>
              <w:pStyle w:val="Compact"/>
            </w:pPr>
            <w:r>
              <w:t xml:space="preserve">GEM-Selektor behind CemGEMS [14]; speciation models</w:t>
            </w:r>
          </w:p>
        </w:tc>
      </w:tr>
      <w:tr>
        <w:tc>
          <w:tcPr/>
          <w:p>
            <w:pPr>
              <w:pStyle w:val="Compact"/>
            </w:pPr>
            <w:r>
              <w:t xml:space="preserve">Combustion / gas phase</w:t>
            </w:r>
          </w:p>
        </w:tc>
        <w:tc>
          <w:tcPr/>
          <w:p>
            <w:pPr>
              <w:pStyle w:val="Compact"/>
            </w:pPr>
            <w:r>
              <w:t xml:space="preserve">NASA-polynomial files (CHEMKIN, Cantera)</w:t>
            </w:r>
          </w:p>
        </w:tc>
        <w:tc>
          <w:tcPr/>
          <w:p>
            <w:pPr>
              <w:pStyle w:val="Compact"/>
            </w:pPr>
            <w:r>
              <w:t xml:space="preserve">ideal-gas and pure condensed species, no solution models</w:t>
            </w:r>
          </w:p>
        </w:tc>
      </w:tr>
      <w:t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and Supplementary Material S1 is a plain-language primer provided so that the non-programmer can learn enough to use the tool, starting at what a database file even is and ending at a first calculation and how to read it. Its closing section teaches what an assessment is built from, so a reader who wants to learn the craft and contribute data for open publication, or to arrive prepared to a first conversation about a commissioned file, knows beforehand exactly what is needed.</w:t>
      </w:r>
    </w:p>
    <w:bookmarkEnd w:id="549"/>
    <w:bookmarkStart w:id="559"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551" name="Picture"/>
            <a:graphic>
              <a:graphicData uri="http://schemas.openxmlformats.org/drawingml/2006/picture">
                <pic:pic>
                  <pic:nvPicPr>
                    <pic:cNvPr descr="figures/fig1_architecture.png" id="552" name="Picture"/>
                    <pic:cNvPicPr>
                      <a:picLocks noChangeArrowheads="1" noChangeAspect="1"/>
                    </pic:cNvPicPr>
                  </pic:nvPicPr>
                  <pic:blipFill>
                    <a:blip r:embed="rId550"/>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554" name="Picture"/>
            <a:graphic>
              <a:graphicData uri="http://schemas.openxmlformats.org/drawingml/2006/picture">
                <pic:pic>
                  <pic:nvPicPr>
                    <pic:cNvPr descr="figures/fig2_browser_app.png" id="555" name="Picture"/>
                    <pic:cNvPicPr>
                      <a:picLocks noChangeArrowheads="1" noChangeAspect="1"/>
                    </pic:cNvPicPr>
                  </pic:nvPicPr>
                  <pic:blipFill>
                    <a:blip r:embed="rId553"/>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557" name="Picture"/>
            <a:graphic>
              <a:graphicData uri="http://schemas.openxmlformats.org/drawingml/2006/picture">
                <pic:pic>
                  <pic:nvPicPr>
                    <pic:cNvPr descr="figures/fig3_ternary.png" id="558" name="Picture"/>
                    <pic:cNvPicPr>
                      <a:picLocks noChangeArrowheads="1" noChangeAspect="1"/>
                    </pic:cNvPicPr>
                  </pic:nvPicPr>
                  <pic:blipFill>
                    <a:blip r:embed="rId556"/>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[20,21]; bias-corrected melt-mixing enthalpies [27,28];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[24,25] from five studies, the measured consolute, and solution calorimetry [26]</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[22]</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559"/>
    <w:bookmarkStart w:id="560"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560"/>
    <w:bookmarkStart w:id="561"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r>
        <w:tc>
          <w:tcPr/>
          <w:p>
            <w:pPr>
              <w:pStyle w:val="Compact"/>
            </w:pPr>
            <w:r>
              <w:t xml:space="preserve">TDB reader</w:t>
            </w:r>
          </w:p>
        </w:tc>
        <w:tc>
          <w:tcPr/>
          <w:p>
            <w:pPr>
              <w:pStyle w:val="Compact"/>
            </w:pPr>
            <w:r>
              <w:t xml:space="preserve">pycalphad’s shipped alloy TDBs (Al-Zn, Pb-Sn, Al-Mg), every phase and line compound</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TDB magnetic model</w:t>
            </w:r>
          </w:p>
        </w:tc>
        <w:tc>
          <w:tcPr/>
          <w:p>
            <w:pPr>
              <w:pStyle w:val="Compact"/>
            </w:pPr>
            <w:r>
              <w:t xml:space="preserve">pycalphad parity + measured pure-iron transitions</w:t>
            </w:r>
          </w:p>
        </w:tc>
        <w:tc>
          <w:tcPr/>
          <w:p>
            <w:pPr>
              <w:pStyle w:val="Compact"/>
            </w:pPr>
            <w:r>
              <w:t xml:space="preserve">matches to 10</w:t>
            </w:r>
            <w:r>
              <w:rPr>
                <w:vertAlign w:val="superscript"/>
              </w:rPr>
              <w:t xml:space="preserve">-10</w:t>
            </w:r>
            <w:r>
              <w:t xml:space="preserve">; 1185/1668/1811 K</w:t>
            </w:r>
          </w:p>
        </w:tc>
      </w:tr>
      <w:t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561"/>
    <w:bookmarkEnd w:id="562"/>
    <w:bookmarkStart w:id="570" w:name="availability"/>
    <w:p>
      <w:pPr>
        <w:pStyle w:val="Heading2"/>
      </w:pPr>
      <w:r>
        <w:t xml:space="preserve">(2) Availability</w:t>
      </w:r>
    </w:p>
    <w:bookmarkStart w:id="563"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563"/>
    <w:bookmarkStart w:id="564"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564"/>
    <w:bookmarkStart w:id="565"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565"/>
    <w:bookmarkStart w:id="566"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566"/>
    <w:bookmarkStart w:id="567" w:name="list-of-contributors"/>
    <w:p>
      <w:pPr>
        <w:pStyle w:val="Heading3"/>
      </w:pPr>
      <w:r>
        <w:t xml:space="preserve">List of contributors</w:t>
      </w:r>
    </w:p>
    <w:p>
      <w:pPr>
        <w:pStyle w:val="FirstParagraph"/>
      </w:pPr>
      <w:r>
        <w:t xml:space="preserve">Michael E. Bustamante (design, implementation, validation, data curation).</w:t>
      </w:r>
    </w:p>
    <w:bookmarkEnd w:id="567"/>
    <w:bookmarkStart w:id="568"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568"/>
    <w:bookmarkStart w:id="569" w:name="language"/>
    <w:p>
      <w:pPr>
        <w:pStyle w:val="Heading3"/>
      </w:pPr>
      <w:r>
        <w:t xml:space="preserve">Language</w:t>
      </w:r>
    </w:p>
    <w:p>
      <w:pPr>
        <w:pStyle w:val="FirstParagraph"/>
      </w:pPr>
      <w:r>
        <w:t xml:space="preserve">English.</w:t>
      </w:r>
    </w:p>
    <w:bookmarkEnd w:id="569"/>
    <w:bookmarkEnd w:id="570"/>
    <w:bookmarkStart w:id="578"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577"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572" name="Picture"/>
            <a:graphic>
              <a:graphicData uri="http://schemas.openxmlformats.org/drawingml/2006/picture">
                <pic:pic>
                  <pic:nvPicPr>
                    <pic:cNvPr descr="figures/fig4_salt_example.png" id="573" name="Picture"/>
                    <pic:cNvPicPr>
                      <a:picLocks noChangeArrowheads="1" noChangeAspect="1"/>
                    </pic:cNvPicPr>
                  </pic:nvPicPr>
                  <pic:blipFill>
                    <a:blip r:embed="rId571"/>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575" name="Picture"/>
            <a:graphic>
              <a:graphicData uri="http://schemas.openxmlformats.org/drawingml/2006/picture">
                <pic:pic>
                  <pic:nvPicPr>
                    <pic:cNvPr descr="figures/fig5_alloy_example.png" id="576" name="Picture"/>
                    <pic:cNvPicPr>
                      <a:picLocks noChangeArrowheads="1" noChangeAspect="1"/>
                    </pic:cNvPicPr>
                  </pic:nvPicPr>
                  <pic:blipFill>
                    <a:blip r:embed="rId574"/>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577"/>
    <w:bookmarkEnd w:id="578"/>
    <w:bookmarkStart w:id="579"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579"/>
    <w:bookmarkStart w:id="580"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580"/>
    <w:bookmarkStart w:id="581" w:name="funding-statement"/>
    <w:p>
      <w:pPr>
        <w:pStyle w:val="Heading2"/>
      </w:pPr>
      <w:r>
        <w:t xml:space="preserve">Funding statement</w:t>
      </w:r>
    </w:p>
    <w:p>
      <w:pPr>
        <w:pStyle w:val="FirstParagraph"/>
      </w:pPr>
      <w:r>
        <w:t xml:space="preserve">The development of this software received no external funding.</w:t>
      </w:r>
    </w:p>
    <w:bookmarkEnd w:id="581"/>
    <w:bookmarkStart w:id="582"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582"/>
    <w:bookmarkStart w:id="583"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583"/>
    <w:bookmarkEnd w:id="5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48" Target="numbering.xml" /><Relationship Type="http://schemas.openxmlformats.org/officeDocument/2006/relationships/styles" Id="rId547" Target="styles.xml" /><Relationship Type="http://schemas.openxmlformats.org/officeDocument/2006/relationships/settings" Id="rId546" Target="settings.xml" /><Relationship Type="http://schemas.openxmlformats.org/officeDocument/2006/relationships/webSettings" Id="rId545" Target="webSettings.xml" /><Relationship Type="http://schemas.openxmlformats.org/officeDocument/2006/relationships/fontTable" Id="rId544" Target="fontTable.xml" /><Relationship Type="http://schemas.openxmlformats.org/officeDocument/2006/relationships/theme" Id="rId543" Target="theme/theme1.xml" /><Relationship Type="http://schemas.openxmlformats.org/officeDocument/2006/relationships/footnotes" Id="rId542" Target="footnotes.xml" /><Relationship Type="http://schemas.openxmlformats.org/officeDocument/2006/relationships/comments" Id="rId541"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Type="http://schemas.openxmlformats.org/officeDocument/2006/relationships/image" Id="rId550" Target="media/rId550.png" /><Relationship Type="http://schemas.openxmlformats.org/officeDocument/2006/relationships/image" Id="rId553" Target="media/rId553.png" /><Relationship Type="http://schemas.openxmlformats.org/officeDocument/2006/relationships/image" Id="rId556" Target="media/rId556.png" /><Relationship Type="http://schemas.openxmlformats.org/officeDocument/2006/relationships/image" Id="rId571" Target="media/rId571.png" /><Relationship Type="http://schemas.openxmlformats.org/officeDocument/2006/relationships/image" Id="rId574" Target="media/rId5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2026-09-03T20:24:26Z</dcterms:created>
  <dcterms:modified xsi:type="dcterms:W3CDTF">2026-09-03T20:24:26Z</dcterms:modified>
</cp:coreProperties>
</file>

<file path=docProps/custom.xml><?xml version="1.0" encoding="utf-8"?>
<Properties xmlns="http://schemas.openxmlformats.org/officeDocument/2006/custom-properties" xmlns:vt="http://schemas.openxmlformats.org/officeDocument/2006/docPropsVTypes"/>
</file>