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3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in-browser open-source engine and open databases for the thermodynamics and phase diagrams of slags, molten salts, and alloys,” for publication in the Journal of Open Research Software.</w:t>
      </w:r>
    </w:p>
    <w:p>
      <w:pPr>
        <w:jc w:val="both"/>
        <w:rPr>
          <w:rFonts w:ascii="Times New Roman" w:hAnsi="Times New Roman"/>
          <w:sz w:val="24"/>
        </w:rPr>
      </w:pPr>
      <w:r>
        <w:rPr>
          <w:rFonts w:ascii="Times New Roman" w:hAnsi="Times New Roman"/>
          <w:sz w:val="24"/>
        </w:rP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The engine reads the field’s three database containers, ChemSage .dat, Thermo-Calc .tdb with the Inden magnetic model, and the openly specified uTDB unified dialect, demonstrated by shipped aluminum-recycling and steelmaking files that each carry an alloy together with its salt or slag; an open chloride molten-salt family ships alongside the slags. Every energy path is validated to machine precision against pycalphad, which was itself published in this journal, and the assembled ternary database is tested against the classical measured phase diagram of the MgO-FeO-SiO2 system; the magnetic model is additionally checked against the measured pure-iron transition temperatures.</w:t>
      </w:r>
    </w:p>
    <w:p>
      <w:pPr>
        <w:jc w:val="both"/>
        <w:rPr>
          <w:rFonts w:ascii="Times New Roman" w:hAnsi="Times New Roman"/>
          <w:sz w:val="24"/>
        </w:rPr>
      </w:pPr>
      <w:r>
        <w:rPr>
          <w:rFonts w:ascii="Times New Roman" w:hAnsi="Times New Roman"/>
          <w:sz w:val="24"/>
        </w:rPr>
        <w:t xml:space="preserve">The software is MIT licensed, the database is CC BY 4.0, and both are in active use. The manuscript follows the journal’s metapaper structure, and the version described is archived as release v0.4.0 of the public repository, with a Zenodo DOI minted at submission.</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