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X1407efc73eeb14ea67b28525936ab156b42f911"/>
    <w:p>
      <w:pPr>
        <w:pStyle w:val="Heading1"/>
      </w:pPr>
      <w:r>
        <w:t xml:space="preserve">Supplementary Material S1. A primer for the experimentalist</w:t>
      </w:r>
    </w:p>
    <w:bookmarkStart w:id="594"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583"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583"/>
    <w:bookmarkStart w:id="584"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ending</w:t>
            </w:r>
          </w:p>
        </w:tc>
        <w:tc>
          <w:tcPr/>
          <w:p>
            <w:pPr>
              <w:pStyle w:val="Compact"/>
            </w:pPr>
            <w:r>
              <w:t xml:space="preserve">Where it comes from</w:t>
            </w:r>
          </w:p>
        </w:tc>
        <w:tc>
          <w:tcPr/>
          <w:p>
            <w:pPr>
              <w:pStyle w:val="Compact"/>
            </w:pPr>
            <w:r>
              <w:t xml:space="preserve">What it carries here</w:t>
            </w:r>
          </w:p>
        </w:tc>
      </w:tr>
      <w:tr>
        <w:tc>
          <w:tcPr/>
          <w:p>
            <w:pPr>
              <w:pStyle w:val="Compact"/>
            </w:pPr>
            <w:r>
              <w:t xml:space="preserve">.dat</w:t>
            </w:r>
          </w:p>
        </w:tc>
        <w:tc>
          <w:tcPr/>
          <w:p>
            <w:pPr>
              <w:pStyle w:val="Compact"/>
            </w:pPr>
            <w:r>
              <w:t xml:space="preserve">The FactSage / ChemApp family</w:t>
            </w:r>
          </w:p>
        </w:tc>
        <w:tc>
          <w:tcPr/>
          <w:p>
            <w:pPr>
              <w:pStyle w:val="Compact"/>
            </w:pPr>
            <w:r>
              <w:t xml:space="preserve">Slags and molten salts (the short-range-ordering liquid model lives in this format)</w:t>
            </w:r>
          </w:p>
        </w:tc>
      </w:tr>
      <w:tr>
        <w:tc>
          <w:tcPr/>
          <w:p>
            <w:pPr>
              <w:pStyle w:val="Compact"/>
            </w:pPr>
            <w:r>
              <w:t xml:space="preserve">.tdb</w:t>
            </w:r>
          </w:p>
        </w:tc>
        <w:tc>
          <w:tcPr/>
          <w:p>
            <w:pPr>
              <w:pStyle w:val="Compact"/>
            </w:pPr>
            <w:r>
              <w:t xml:space="preserve">The Thermo-Calc / OpenCalphad / pycalphad family</w:t>
            </w:r>
          </w:p>
        </w:tc>
        <w:tc>
          <w:tcPr/>
          <w:p>
            <w:pPr>
              <w:pStyle w:val="Compact"/>
            </w:pPr>
            <w:r>
              <w:t xml:space="preserve">Alloy systems</w:t>
            </w:r>
          </w:p>
        </w:tc>
      </w:tr>
      <w:tr>
        <w:tc>
          <w:tcPr/>
          <w:p>
            <w:pPr>
              <w:pStyle w:val="Compact"/>
            </w:pPr>
            <w:r>
              <w:t xml:space="preserve">.utdb</w:t>
            </w:r>
          </w:p>
        </w:tc>
        <w:tc>
          <w:tcPr/>
          <w:p>
            <w:pPr>
              <w:pStyle w:val="Compact"/>
            </w:pPr>
            <w:r>
              <w:t xml:space="preserve">This project’s documented open extension of .tdb</w:t>
            </w:r>
          </w:p>
        </w:tc>
        <w:tc>
          <w:tcPr/>
          <w:p>
            <w:pPr>
              <w:pStyle w:val="Compac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584"/>
    <w:bookmarkStart w:id="585"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585"/>
    <w:bookmarkStart w:id="586"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586"/>
    <w:bookmarkStart w:id="587"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587"/>
    <w:bookmarkStart w:id="588"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588"/>
    <w:bookmarkStart w:id="589"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589"/>
    <w:bookmarkStart w:id="590"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this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590"/>
    <w:bookmarkStart w:id="591"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does not calculate gas equilibria.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591"/>
    <w:bookmarkStart w:id="592"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592"/>
    <w:bookmarkStart w:id="593"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593"/>
    <w:bookmarkEnd w:id="594"/>
    <w:bookmarkEnd w:id="5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82" Target="numbering.xml" /><Relationship Type="http://schemas.openxmlformats.org/officeDocument/2006/relationships/styles" Id="rId581" Target="styles.xml" /><Relationship Type="http://schemas.openxmlformats.org/officeDocument/2006/relationships/settings" Id="rId580" Target="settings.xml" /><Relationship Type="http://schemas.openxmlformats.org/officeDocument/2006/relationships/webSettings" Id="rId579" Target="webSettings.xml" /><Relationship Type="http://schemas.openxmlformats.org/officeDocument/2006/relationships/fontTable" Id="rId578" Target="fontTable.xml" /><Relationship Type="http://schemas.openxmlformats.org/officeDocument/2006/relationships/theme" Id="rId577" Target="theme/theme1.xml" /><Relationship Type="http://schemas.openxmlformats.org/officeDocument/2006/relationships/footnotes" Id="rId576" Target="footnotes.xml" /><Relationship Type="http://schemas.openxmlformats.org/officeDocument/2006/relationships/comments" Id="rId57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2026-09-03T20:27:55Z</dcterms:created>
  <dcterms:modified xsi:type="dcterms:W3CDTF">2026-09-03T20:27:55Z</dcterms:modified>
</cp:coreProperties>
</file>

<file path=docProps/custom.xml><?xml version="1.0" encoding="utf-8"?>
<Properties xmlns="http://schemas.openxmlformats.org/officeDocument/2006/custom-properties" xmlns:vt="http://schemas.openxmlformats.org/officeDocument/2006/docPropsVTypes"/>
</file>