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94.png" ContentType="image/png"/>
  <Override PartName="/word/media/rId2097.png" ContentType="image/png"/>
  <Override PartName="/word/media/rId2100.png" ContentType="image/png"/>
  <Override PartName="/word/media/rId2115.png" ContentType="image/png"/>
  <Override PartName="/word/media/rId2118.png" ContentType="image/png"/>
  <Override PartName="/word/media/rId2121.png" ContentType="image/png"/>
  <Override PartName="/word/media/rId2124.png" ContentType="image/png"/>
  <Override PartName="/word/media/rId2127.png" ContentType="image/png"/>
  <Override PartName="/word/media/rId21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40"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and couples that gas to the condensed phases at a shared oxygen potential: to metals and oxides in the browser, reproducing Cantera’s multiphase equilibrium, and to the Modified Quasichemical slag itself at iron saturation, so the melt’s oxidation state tracks the furnace atmosphere. The same activity coupling gives the vapour a molten chloride flux fumes off, where complexing holds down the magnesium chloride.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2106" w:name="overview"/>
    <w:p>
      <w:pPr>
        <w:pStyle w:val="Heading2"/>
      </w:pPr>
      <w:r>
        <w:t xml:space="preserve">(1) Overview</w:t>
      </w:r>
    </w:p>
    <w:bookmarkStart w:id="2093"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The present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2093"/>
    <w:bookmarkStart w:id="2103"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2095" name="Picture"/>
            <a:graphic>
              <a:graphicData uri="http://schemas.openxmlformats.org/drawingml/2006/picture">
                <pic:pic>
                  <pic:nvPicPr>
                    <pic:cNvPr descr="figures/fig1_architecture.png" id="2096" name="Picture"/>
                    <pic:cNvPicPr>
                      <a:picLocks noChangeArrowheads="1" noChangeAspect="1"/>
                    </pic:cNvPicPr>
                  </pic:nvPicPr>
                  <pic:blipFill>
                    <a:blip r:embed="rId2094"/>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eight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 second or two,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and optionally couples that gas to a steelmaking condensate (graphite, wustite, iron) so a reducing atmosphere pulls the oxide down to metal and an oxidising one holds it, calculated at a shared oxygen potential. A slag-gas readout closes the same loop for the solution melt: for the assessed FeO-SiO</w:t>
      </w:r>
      <w:r>
        <w:rPr>
          <w:vertAlign w:val="subscript"/>
        </w:rPr>
        <w:t xml:space="preserve">2</w:t>
      </w:r>
      <w:r>
        <w:t xml:space="preserve"> </w:t>
      </w:r>
      <w:r>
        <w:t xml:space="preserve">slag held at iron saturation it shows the FeO activity and the furnace CO</w:t>
      </w:r>
      <w:r>
        <w:rPr>
          <w:vertAlign w:val="subscript"/>
        </w:rPr>
        <w:t xml:space="preserve">2</w:t>
      </w:r>
      <w:r>
        <w:t xml:space="preserve">/CO ratio and oxygen pressure the melt equilibrates with, so adding silica lowers the activity and drives the equilibrium gas more reducing. The same readout switches with the loaded chemistry: for a molten chloride flux it shows the fume, each salt’s partial pressure taken as its engine activity times its measured pure-component vapour pressure, so that magnesium chloride, held in the melt by chlorocomplexing, contributes only a few percent of the vapour despite being a fifth of the flux.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13308"/>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about three seconds). Tapping a composition reads its stable phases and pins it to a comparison list; hovering previews on desktop." title="" id="2098" name="Picture"/>
            <a:graphic>
              <a:graphicData uri="http://schemas.openxmlformats.org/drawingml/2006/picture">
                <pic:pic>
                  <pic:nvPicPr>
                    <pic:cNvPr descr="figures/fig2_browser_app.png" id="2099" name="Picture"/>
                    <pic:cNvPicPr>
                      <a:picLocks noChangeArrowheads="1" noChangeAspect="1"/>
                    </pic:cNvPicPr>
                  </pic:nvPicPr>
                  <pic:blipFill>
                    <a:blip r:embed="rId2097"/>
                    <a:stretch>
                      <a:fillRect/>
                    </a:stretch>
                  </pic:blipFill>
                  <pic:spPr bwMode="auto">
                    <a:xfrm>
                      <a:off x="0" y="0"/>
                      <a:ext cx="4754880" cy="3913308"/>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about three seconds).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 title="" id="2101" name="Picture"/>
            <a:graphic>
              <a:graphicData uri="http://schemas.openxmlformats.org/drawingml/2006/picture">
                <pic:pic>
                  <pic:nvPicPr>
                    <pic:cNvPr descr="figures/fig3_ternary.png" id="2102" name="Picture"/>
                    <pic:cNvPicPr>
                      <a:picLocks noChangeArrowheads="1" noChangeAspect="1"/>
                    </pic:cNvPicPr>
                  </pic:nvPicPr>
                  <pic:blipFill>
                    <a:blip r:embed="rId2100"/>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K; calorimetry matched; stable two-liquid field about 340 K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kelvin</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bookmarkEnd w:id="2103"/>
    <w:bookmarkStart w:id="2104"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Because a liquidus is set by the Gibbs energy of the liquid minus that of the coexisting solid, every boundary-setting phase carries its own assessed description here, the terminal oxides and intermediate compounds from the evaluated tables and solution calorimetry and the olivine and orthopyroxene solutions from calorimetric mixing parameters, rather than being frozen as pure elements; the liquid excess is fitted against those real solid descriptions, so it is not left to absorb a missing solid contribution, and the fitted interaction stays physically transferable.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2104"/>
    <w:bookmarkStart w:id="2105"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132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keepNext/>
              <w:pStyle w:val="Compact"/>
              <w:jc w:val="left"/>
            </w:pPr>
            <w:r>
              <w:t xml:space="preserve">Gas phase</w:t>
            </w:r>
          </w:p>
        </w:tc>
        <w:tc>
          <w:tcPr/>
          <w:p>
            <w:pPr>
              <w:keepNext/>
              <w:pStyle w:val="Compact"/>
              <w:jc w:val="left"/>
            </w:pPr>
            <w:r>
              <w:t xml:space="preserve">NASA-polynomial ideal-gas equilibria (Python and C core); Peng-Robinson real gas</w:t>
            </w:r>
          </w:p>
        </w:tc>
        <w:tc>
          <w:tcPr/>
          <w:p>
            <w:pPr>
              <w:keepNext/>
              <w:pStyle w:val="Compact"/>
              <w:jc w:val="left"/>
            </w:pPr>
            <w:r>
              <w:t xml:space="preserve">Cantera [40]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r>
        <w:trPr>
          <w:cantSplit/>
        </w:trPr>
        <w:tc>
          <w:tcPr/>
          <w:p>
            <w:pPr>
              <w:keepNext/>
              <w:pStyle w:val="Compact"/>
              <w:jc w:val="left"/>
            </w:pPr>
            <w:r>
              <w:t xml:space="preserve">Gas-condensed coupling</w:t>
            </w:r>
          </w:p>
        </w:tc>
        <w:tc>
          <w:tcPr/>
          <w:p>
            <w:pPr>
              <w:keepNext/>
              <w:pStyle w:val="Compact"/>
              <w:jc w:val="left"/>
            </w:pPr>
            <w:r>
              <w:t xml:space="preserve">shared-element-potential solve, gas + stoichiometric metals/oxides (Boudouard, FeO reduction)</w:t>
            </w:r>
          </w:p>
        </w:tc>
        <w:tc>
          <w:tcPr/>
          <w:p>
            <w:pPr>
              <w:keepNext/>
              <w:pStyle w:val="Compact"/>
              <w:jc w:val="left"/>
            </w:pPr>
            <w:r>
              <w:t xml:space="preserve">Cantera multiphase parity to 10</w:t>
            </w:r>
            <w:r>
              <w:rPr>
                <w:vertAlign w:val="superscript"/>
              </w:rPr>
              <w:t xml:space="preserve">-3</w:t>
            </w:r>
            <w:r>
              <w:t xml:space="preserve"> </w:t>
            </w:r>
            <w:r>
              <w:t xml:space="preserve">mole fraction, to 10</w:t>
            </w:r>
            <w:r>
              <w:rPr>
                <w:vertAlign w:val="superscript"/>
              </w:rPr>
              <w:t xml:space="preserve">-10</w:t>
            </w:r>
            <w:r>
              <w:t xml:space="preserve"> </w:t>
            </w:r>
            <w:r>
              <w:t xml:space="preserve">on shared thermodynamic data</w:t>
            </w:r>
          </w:p>
        </w:tc>
      </w:tr>
      <w:tr>
        <w:trPr>
          <w:cantSplit/>
        </w:trPr>
        <w:tc>
          <w:tcPr/>
          <w:p>
            <w:pPr>
              <w:keepNext/>
              <w:pStyle w:val="Compact"/>
              <w:jc w:val="left"/>
            </w:pPr>
            <w:r>
              <w:t xml:space="preserve">Gas-slag coupling (iron-saturated)</w:t>
            </w:r>
          </w:p>
        </w:tc>
        <w:tc>
          <w:tcPr/>
          <w:p>
            <w:pPr>
              <w:keepNext/>
              <w:pStyle w:val="Compact"/>
              <w:jc w:val="left"/>
            </w:pPr>
            <w:r>
              <w:t xml:space="preserve">gas + MQMQA slag through the FeO activity; equilibrium CO</w:t>
            </w:r>
            <w:r>
              <w:rPr>
                <w:vertAlign w:val="subscript"/>
              </w:rPr>
              <w:t xml:space="preserve">2</w:t>
            </w:r>
            <w:r>
              <w:t xml:space="preserve">/CO vs slag composition</w:t>
            </w:r>
          </w:p>
        </w:tc>
        <w:tc>
          <w:tcPr/>
          <w:p>
            <w:pPr>
              <w:keepNext/>
              <w:pStyle w:val="Compact"/>
              <w:jc w:val="left"/>
            </w:pPr>
            <w:r>
              <w:t xml:space="preserve">pure-FeO limit within 1% of the Cantera Fe/FeO buffer; slag activity matches the fitted iron-saturated data</w:t>
            </w:r>
          </w:p>
        </w:tc>
      </w:tr>
      <w:tr>
        <w:trPr>
          <w:cantSplit/>
        </w:trPr>
        <w:tc>
          <w:tcPr/>
          <w:p>
            <w:pPr>
              <w:pStyle w:val="Compact"/>
              <w:jc w:val="left"/>
            </w:pPr>
            <w:r>
              <w:t xml:space="preserve">Gas-flux coupling (chloride fume)</w:t>
            </w:r>
          </w:p>
        </w:tc>
        <w:tc>
          <w:tcPr/>
          <w:p>
            <w:pPr>
              <w:pStyle w:val="Compact"/>
              <w:jc w:val="left"/>
            </w:pPr>
            <w:r>
              <w:t xml:space="preserve">gas + MQMQA salt through component activities; fume partial pressures p</w:t>
            </w:r>
            <w:r>
              <w:rPr>
                <w:vertAlign w:val="subscript"/>
              </w:rPr>
              <w:t xml:space="preserve">i</w:t>
            </w:r>
            <w:r>
              <w:t xml:space="preserve"> </w:t>
            </w:r>
            <w:r>
              <w:t xml:space="preserve">= a</w:t>
            </w:r>
            <w:r>
              <w:rPr>
                <w:vertAlign w:val="subscript"/>
              </w:rPr>
              <w:t xml:space="preserve">i</w:t>
            </w:r>
            <w:r>
              <w:t xml:space="preserve"> </w:t>
            </w:r>
            <w:r>
              <w:t xml:space="preserve">p</w:t>
            </w:r>
            <w:r>
              <w:rPr>
                <w:vertAlign w:val="subscript"/>
              </w:rPr>
              <w:t xml:space="preserve">i</w:t>
            </w:r>
            <w:r>
              <w:rPr>
                <w:vertAlign w:val="superscript"/>
              </w:rPr>
              <w:t xml:space="preserve">o</w:t>
            </w:r>
            <w:r>
              <w:t xml:space="preserve"> </w:t>
            </w:r>
            <w:r>
              <w:t xml:space="preserve">vs temperature</w:t>
            </w:r>
          </w:p>
        </w:tc>
        <w:tc>
          <w:tcPr/>
          <w:p>
            <w:pPr>
              <w:pStyle w:val="Compact"/>
              <w:jc w:val="left"/>
            </w:pPr>
            <w:r>
              <w:t xml:space="preserve">pure limit gives unit activity to five figures; NaCl-KCl binary reproduces the measured near-ideal negative deviation; pure-component vapour pressures reproduce the measured boiling points</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kelvin of measurement, assessed MgO-SiO</w:t>
      </w:r>
      <w:r>
        <w:rPr>
          <w:vertAlign w:val="subscript"/>
        </w:rPr>
        <w:t xml:space="preserve">2</w:t>
      </w:r>
      <w:r>
        <w:t xml:space="preserve"> </w:t>
      </w:r>
      <w:r>
        <w:t xml:space="preserve">invariants sit within about 40 K, and the ternary liquidus projection reproduces the measured field topology [24]. Development practice is plain: the repository is version controlled with tagged releases (v0.1.0 through the v0.5.0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2105"/>
    <w:bookmarkEnd w:id="2106"/>
    <w:bookmarkStart w:id="2114" w:name="availability"/>
    <w:p>
      <w:pPr>
        <w:pStyle w:val="Heading2"/>
      </w:pPr>
      <w:r>
        <w:t xml:space="preserve">(2) Availability</w:t>
      </w:r>
    </w:p>
    <w:bookmarkStart w:id="2107"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2107"/>
    <w:bookmarkStart w:id="2108"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2108"/>
    <w:bookmarkStart w:id="2109"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2109"/>
    <w:bookmarkStart w:id="2110"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2110"/>
    <w:bookmarkStart w:id="2111" w:name="list-of-contributors"/>
    <w:p>
      <w:pPr>
        <w:pStyle w:val="Heading3"/>
      </w:pPr>
      <w:r>
        <w:t xml:space="preserve">List of contributors</w:t>
      </w:r>
    </w:p>
    <w:p>
      <w:pPr>
        <w:pStyle w:val="FirstParagraph"/>
      </w:pPr>
      <w:r>
        <w:t xml:space="preserve">Michael E. Bustamante (design, implementation, validation, data curation).</w:t>
      </w:r>
    </w:p>
    <w:bookmarkEnd w:id="2111"/>
    <w:bookmarkStart w:id="2112"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https://github.com/odinzen/hephaestus-mqmqa-public/releases/tag/v0.5.0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v0.5.0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2112"/>
    <w:bookmarkStart w:id="2113" w:name="language"/>
    <w:p>
      <w:pPr>
        <w:pStyle w:val="Heading3"/>
      </w:pPr>
      <w:r>
        <w:t xml:space="preserve">Language</w:t>
      </w:r>
    </w:p>
    <w:p>
      <w:pPr>
        <w:pStyle w:val="FirstParagraph"/>
      </w:pPr>
      <w:r>
        <w:t xml:space="preserve">English.</w:t>
      </w:r>
    </w:p>
    <w:bookmarkEnd w:id="2113"/>
    <w:bookmarkEnd w:id="2114"/>
    <w:bookmarkStart w:id="2134"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The same core also exposes a thermodynamic application interface shaped like OpenCalphad’s OCASI (the de-facto embedding standard, descended from Thermo-Calc’s TQ), written clean-room from its documented semantics, so software built to drive OpenCalphad can bind this engine instead and run where the GPL Fortran reference cannot, in the browser and inside permissively or closed-licensed products; the interface is checked against pycalphad in the suite.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2133"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2116" name="Picture"/>
            <a:graphic>
              <a:graphicData uri="http://schemas.openxmlformats.org/drawingml/2006/picture">
                <pic:pic>
                  <pic:nvPicPr>
                    <pic:cNvPr descr="figures/fig4_salt_example.png" id="2117" name="Picture"/>
                    <pic:cNvPicPr>
                      <a:picLocks noChangeArrowheads="1" noChangeAspect="1"/>
                    </pic:cNvPicPr>
                  </pic:nvPicPr>
                  <pic:blipFill>
                    <a:blip r:embed="rId2115"/>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[41],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2119" name="Picture"/>
            <a:graphic>
              <a:graphicData uri="http://schemas.openxmlformats.org/drawingml/2006/picture">
                <pic:pic>
                  <pic:nvPicPr>
                    <pic:cNvPr descr="figures/fig5_alloy_example.png" id="2120" name="Picture"/>
                    <pic:cNvPicPr>
                      <a:picLocks noChangeArrowheads="1" noChangeAspect="1"/>
                    </pic:cNvPicPr>
                  </pic:nvPicPr>
                  <pic:blipFill>
                    <a:blip r:embed="rId2118"/>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on the parameters is demonstrated below. A first reach into the combustion school is already in the library. The engine reads NASA 7-coefficient polynomial thermochemistry, the open format of NASA CEA [42] and GRI-Mech [43], and solves ideal-gas equilibrium at fixed temperature and pressure by the element-potential method, validated against Cantera [40]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The gas is coupled to the condensed phases in one equilibrium, the step that carries pyrometallurgical oxygen potentials: a shared set of element potentials holds the ideal gas and the pure condensed species (metals, oxides, graphite) at a common oxygen potential, and the stable phase assemblage is the set of lowest total Gibbs energy, so the furnace atmosphere and the condensate settle together rather than apart. The solver reproduces Cantera’s own multiphase equilibrium on the reactions that carry those potentials, the Boudouard balance C(gr) + CO</w:t>
      </w:r>
      <w:r>
        <w:rPr>
          <w:vertAlign w:val="subscript"/>
        </w:rPr>
        <w:t xml:space="preserve">2</w:t>
      </w:r>
      <w:r>
        <w:t xml:space="preserve"> </w:t>
      </w:r>
      <w:r>
        <w:t xml:space="preserve">= 2 CO and iron-oxide reduction FeO + CO = Fe + CO</w:t>
      </w:r>
      <w:r>
        <w:rPr>
          <w:vertAlign w:val="subscript"/>
        </w:rPr>
        <w:t xml:space="preserve">2</w:t>
      </w:r>
      <w:r>
        <w:t xml:space="preserve">, to about 10</w:t>
      </w:r>
      <w:r>
        <w:rPr>
          <w:vertAlign w:val="superscript"/>
        </w:rPr>
        <w:t xml:space="preserve">-3</w:t>
      </w:r>
      <w:r>
        <w:t xml:space="preserve"> </w:t>
      </w:r>
      <w:r>
        <w:t xml:space="preserve">mole fraction, and to 10</w:t>
      </w:r>
      <w:r>
        <w:rPr>
          <w:vertAlign w:val="superscript"/>
        </w:rPr>
        <w:t xml:space="preserve">-10</w:t>
      </w:r>
      <w:r>
        <w:t xml:space="preserve"> </w:t>
      </w:r>
      <w:r>
        <w:t xml:space="preserve">where the two are given identical thermodynamic data so that only the coupling is under test. That condensate is the set of stoichiometric metals and oxides; the same shared oxygen potential also couples the gas to the Modified Quasichemical slag itself. At iron saturation the melt, metallic iron and the gas meet at one oxygen potential, and the slag enters through its FeO activity (a quantity the engine already evaluates, validated against the iron-saturated activity measurements the database was fitted to), so a more silica-rich melt, with its lower FeO activity, sits under a more reducing gas, exactly as slag-gas equilibration measurements show. The pure-FeO limit recovers the Fe/FeO buffer to within a percent of Cantera’s own multiphase equilibrium. The uTDB grammar already defines the ideal-gas phase, so a single file carries an alloy, a slag, its solids, and a gas for one coupled calculation.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The furnace atmosphere over that bath is calculable on the same page, and Figure 7 works it through with the gas calculator: the CO to CO</w:t>
      </w:r>
      <w:r>
        <w:rPr>
          <w:vertAlign w:val="subscript"/>
        </w:rPr>
        <w:t xml:space="preserve">2</w:t>
      </w:r>
      <w:r>
        <w:t xml:space="preserve"> </w:t>
      </w:r>
      <w:r>
        <w:t xml:space="preserve">ratio of a carbon-oxygen gas fixes the oxygen partial pressure that decides whether carbon is removed from the steel or iron is oxidized into the slag, both at the 1873 K tap temperature and across the steelmaking range, with the gas engine reproducing Cantera throughout. The salt side of the same coupling is the fume over a molten chloride flux (Figure 8): each salt evaporates at its engine activity times its measured pure-component vapour pressure, so magnesium chloride, a fifth of the NaCl-KCl-MgCl2 flux, is only a few percent of the fume, because chlorocomplexing holds its activity far below its mole fraction. The engine’s validated activities are what separate that fume from a Raoultian estimate. The same engine also carries parameter uncertainty to the diagram. Refitting the Al-Zn liquid and face-centred-cubic excess parameters against the measured liquid enthalpy of mixing and the assessed phase boundaries [39, 44, 45] by Markov-chain Monte Carlo, and propagating the posterior through the browser calculation, produces the confidence band of Figure 9. Three excess coefficients were sampled, the liquid enthalpy and its temperature term and the face-centred-cubic enthalpy, by an ensemble of eighteen walkers over 1500 steps under ESPEI’s default equal dataset weighting, discarding the first half as burn-in; the walker-mean chains are stationary and well mixed (Gelman-Rubin R-hat at most 1.04), the effective sample size is of order 400, and no pair of parameters correlates above about 0.65. Because only these three excess terms are varied while the SGTE unary functions and the phases not being refitted are held at their assessed values, the band is the parametric posterior within the adopted model, not a total thermodynamic uncertainty. Read that way it is still informative: the liquidus band is narrow because the calorimetry pins the liquid interaction, while the solid-solubility band is wider because only the phase diagram constrains the corresponding parameter, an honest reflection of which measurements do the work.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430576"/>
            <wp:effectExtent b="0" l="0" r="0" t="0"/>
            <wp:docPr descr="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 title="" id="2122" name="Picture"/>
            <a:graphic>
              <a:graphicData uri="http://schemas.openxmlformats.org/drawingml/2006/picture">
                <pic:pic>
                  <pic:nvPicPr>
                    <pic:cNvPr descr="figures/fig6_utdb_steel.png" id="2123" name="Picture"/>
                    <pic:cNvPicPr>
                      <a:picLocks noChangeArrowheads="1" noChangeAspect="1"/>
                    </pic:cNvPicPr>
                  </pic:nvPicPr>
                  <pic:blipFill>
                    <a:blip r:embed="rId2121"/>
                    <a:stretch>
                      <a:fillRect/>
                    </a:stretch>
                  </pic:blipFill>
                  <pic:spPr bwMode="auto">
                    <a:xfrm>
                      <a:off x="0" y="0"/>
                      <a:ext cx="5334000" cy="4430576"/>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w:t>
      </w:r>
    </w:p>
    <w:p>
      <w:pPr>
        <w:pStyle w:val="CaptionedFigure"/>
      </w:pPr>
      <w:r>
        <w:drawing>
          <wp:inline>
            <wp:extent cx="5334000" cy="2319130"/>
            <wp:effectExtent b="0" l="0" r="0" t="0"/>
            <wp:docPr descr="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2 ratio at the 1873 K tap temperature: a lower ratio is more oxidizing and drives iron into the slag as FeO, a higher ratio is more reducing and decarburizes the steel. (b) The same oxygen potential against temperature for four fixed CO to CO2 buffers, showing that a given gas grows more oxidizing as it heats; the dashed line marks the tap temperature. Open circles are Cantera, agreeing to about 10-5 mole fraction across the field." title="" id="2125" name="Picture"/>
            <a:graphic>
              <a:graphicData uri="http://schemas.openxmlformats.org/drawingml/2006/picture">
                <pic:pic>
                  <pic:nvPicPr>
                    <pic:cNvPr descr="figures/fig7_gas_steel.png" id="2126" name="Picture"/>
                    <pic:cNvPicPr>
                      <a:picLocks noChangeArrowheads="1" noChangeAspect="1"/>
                    </pic:cNvPicPr>
                  </pic:nvPicPr>
                  <pic:blipFill>
                    <a:blip r:embed="rId2124"/>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w:t>
      </w:r>
      <w:r>
        <w:rPr>
          <w:vertAlign w:val="subscript"/>
        </w:rPr>
        <w:t xml:space="preserve">2</w:t>
      </w:r>
      <w:r>
        <w:t xml:space="preserve"> </w:t>
      </w:r>
      <w:r>
        <w:t xml:space="preserve">ratio at the 1873 K tap temperature: a lower ratio is more oxidizing and drives iron into the slag as FeO, a higher ratio is more reducing and decarburizes the steel. (b) The same oxygen potential against temperature for four fixed CO to CO</w:t>
      </w:r>
      <w:r>
        <w:rPr>
          <w:vertAlign w:val="subscript"/>
        </w:rPr>
        <w:t xml:space="preserve">2</w:t>
      </w:r>
      <w:r>
        <w:t xml:space="preserve"> </w:t>
      </w:r>
      <w:r>
        <w:t xml:space="preserve">buffers, showing that a given gas grows more oxidizing as it heats; the dashed line marks the tap temperature. Open circles are Cantera, agreeing to about 10</w:t>
      </w:r>
      <w:r>
        <w:rPr>
          <w:vertAlign w:val="superscript"/>
        </w:rPr>
        <w:t xml:space="preserve">-5</w:t>
      </w:r>
      <w:r>
        <w:t xml:space="preserve"> </w:t>
      </w:r>
      <w:r>
        <w:t xml:space="preserve">mole fraction across the field.</w:t>
      </w:r>
    </w:p>
    <w:p>
      <w:pPr>
        <w:pStyle w:val="CaptionedFigure"/>
      </w:pPr>
      <w:r>
        <w:drawing>
          <wp:inline>
            <wp:extent cx="5334000" cy="2319130"/>
            <wp:effectExtent b="0" l="0" r="0" t="0"/>
            <wp:docPr descr="Figure 8: The gas-flux coupling as a molten-salt worked example, the fume over a NaCl-KCl-MgCl2 = 40/40/20 mol% flux. Each salt’s partial pressure is its engine activity times its measured pure-component vapour pressure (NaCl and KCl from NIST Antoine fits, MgCl2 from the NIST-JANAF gas and liquid Gibbs of formation, each reproducing its measured boiling point; activities from the engine, validated against the pure-composition limit and the near-ideal NaCl-KCl binary). (a) Fume partial pressures against temperature, with the total. (b) Flux composition against fume composition at 1200 K: magnesium chloride is a fifth of the flux but a few percent of the fume, held in the melt by chlorocomplexing that drops its activity well below its mole fraction." title="" id="2128" name="Picture"/>
            <a:graphic>
              <a:graphicData uri="http://schemas.openxmlformats.org/drawingml/2006/picture">
                <pic:pic>
                  <pic:nvPicPr>
                    <pic:cNvPr descr="figures/fig8_gas_flux.png" id="2129" name="Picture"/>
                    <pic:cNvPicPr>
                      <a:picLocks noChangeArrowheads="1" noChangeAspect="1"/>
                    </pic:cNvPicPr>
                  </pic:nvPicPr>
                  <pic:blipFill>
                    <a:blip r:embed="rId2127"/>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8: The gas-flux coupling as a molten-salt worked example, the fume over a NaCl-KCl-MgCl</w:t>
      </w:r>
      <w:r>
        <w:rPr>
          <w:vertAlign w:val="subscript"/>
        </w:rPr>
        <w:t xml:space="preserve">2</w:t>
      </w:r>
      <w:r>
        <w:t xml:space="preserve"> </w:t>
      </w:r>
      <w:r>
        <w:t xml:space="preserve">= 40/40/20 mol% flux. Each salt’s partial pressure is its engine activity times its measured pure-component vapour pressure (NaCl and KCl from NIST Antoine fits, MgCl</w:t>
      </w:r>
      <w:r>
        <w:rPr>
          <w:vertAlign w:val="subscript"/>
        </w:rPr>
        <w:t xml:space="preserve">2</w:t>
      </w:r>
      <w:r>
        <w:t xml:space="preserve"> </w:t>
      </w:r>
      <w:r>
        <w:t xml:space="preserve">from the NIST-JANAF gas and liquid Gibbs of formation, each reproducing its measured boiling point; activities from the engine, validated against the pure-composition limit and the near-ideal NaCl-KCl binary). (a) Fume partial pressures against temperature, with the total. (b) Flux composition against fume composition at 1200 K: magnesium chloride is a fifth of the flux but a few percent of the fume, held in the melt by chlorocomplexing that drops its activity well below its mole fraction.</w:t>
      </w:r>
    </w:p>
    <w:p>
      <w:pPr>
        <w:pStyle w:val="CaptionedFigure"/>
      </w:pPr>
      <w:r>
        <w:drawing>
          <wp:inline>
            <wp:extent cx="4572000" cy="3556000"/>
            <wp:effectExtent b="0" l="0" r="0" t="0"/>
            <wp:docPr descr="Figure 9: Al-Zn phase diagram with ESPEI parameter uncertainty. The liquid and face-centred-cubic (fcc) excess parameters were refit by Markov-chain Monte Carlo to the measured liquid enthalpy of mixing (Debski et al., digitiz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5] (x(Zn) = 0.887, 654 K)." title="" id="2131" name="Picture"/>
            <a:graphic>
              <a:graphicData uri="http://schemas.openxmlformats.org/drawingml/2006/picture">
                <pic:pic>
                  <pic:nvPicPr>
                    <pic:cNvPr descr="figures/fig9_uq_alzn.png" id="2132" name="Picture"/>
                    <pic:cNvPicPr>
                      <a:picLocks noChangeArrowheads="1" noChangeAspect="1"/>
                    </pic:cNvPicPr>
                  </pic:nvPicPr>
                  <pic:blipFill>
                    <a:blip r:embed="rId2130"/>
                    <a:stretch>
                      <a:fillRect/>
                    </a:stretch>
                  </pic:blipFill>
                  <pic:spPr bwMode="auto">
                    <a:xfrm>
                      <a:off x="0" y="0"/>
                      <a:ext cx="4572000" cy="3556000"/>
                    </a:xfrm>
                    <a:prstGeom prst="rect">
                      <a:avLst/>
                    </a:prstGeom>
                    <a:noFill/>
                    <a:ln w="9525">
                      <a:noFill/>
                      <a:headEnd/>
                      <a:tailEnd/>
                    </a:ln>
                  </pic:spPr>
                </pic:pic>
              </a:graphicData>
            </a:graphic>
          </wp:inline>
        </w:drawing>
      </w:r>
    </w:p>
    <w:p>
      <w:pPr>
        <w:pStyle w:val="ImageCaption"/>
      </w:pPr>
      <w:r>
        <w:t xml:space="preserve">Figure 9: Al-Zn phase diagram with ESPEI parameter uncertainty. The liquid and face-centred-cubic (fcc) excess parameters were refit by Markov-chain Monte Carlo to the measured liquid enthalpy of mixing (Debski et al., digitized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[45] (x(Zn) = 0.887, 654 K).</w:t>
      </w:r>
    </w:p>
    <w:p>
      <w:pPr>
        <w:pStyle w:val="BodyText"/>
      </w:pPr>
      <w:r>
        <w:t xml:space="preserve">The gap the present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v0.5.0 archives the exact version described, and the 137-test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2133"/>
    <w:bookmarkEnd w:id="2134"/>
    <w:bookmarkStart w:id="2135"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v0.5.0. The database files and their provenance records are in the repository’s data directory under CC BY 4.0.</w:t>
      </w:r>
    </w:p>
    <w:bookmarkEnd w:id="2135"/>
    <w:bookmarkStart w:id="2136"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2136"/>
    <w:bookmarkStart w:id="2137" w:name="funding-statement"/>
    <w:p>
      <w:pPr>
        <w:pStyle w:val="Heading2"/>
      </w:pPr>
      <w:r>
        <w:t xml:space="preserve">Funding statement</w:t>
      </w:r>
    </w:p>
    <w:p>
      <w:pPr>
        <w:pStyle w:val="FirstParagraph"/>
      </w:pPr>
      <w:r>
        <w:t xml:space="preserve">The development of this software received no external funding.</w:t>
      </w:r>
    </w:p>
    <w:bookmarkEnd w:id="2137"/>
    <w:bookmarkStart w:id="2138"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2138"/>
    <w:bookmarkStart w:id="2139"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Goodwin DG, Moffat HK, Schoegl I, Speth RL, Weber BW. Cantera: An Object-oriented Software Toolkit for Chemical Kinetics, Thermodynamics, and Transport Processes. Version 3.1.0; 2024. doi:10.5281/zenodo.14455267</w:t>
      </w:r>
    </w:p>
    <w:p>
      <w:pPr>
        <w:pStyle w:val="BodyText"/>
      </w:pPr>
      <w:r>
        <w:t xml:space="preserve">[41] Dinsdale AT. SGTE data for pure elements. Calphad. 1991 Oct;15(4):317-425. doi:10.1016/0364-5916(91)90030-N</w:t>
      </w:r>
    </w:p>
    <w:p>
      <w:pPr>
        <w:pStyle w:val="BodyText"/>
      </w:pPr>
      <w:r>
        <w:t xml:space="preserve">[42] McBride BJ, Zehe MJ, Gordon S. NASA Glenn Coefficients for Calculating Thermodynamic Properties of Individual Species. NASA/TP-2002-211556. Cleveland (OH): NASA Glenn Research Center; 2002.</w:t>
      </w:r>
    </w:p>
    <w:p>
      <w:pPr>
        <w:pStyle w:val="BodyText"/>
      </w:pPr>
      <w:r>
        <w:t xml:space="preserve">[43] Smith GP, Golden DM, Frenklach M, Moriarty NW, Eiteneer B, Goldenberg M, et al. GRI-Mech 3.0 [Internet]. 1999. Available from: http://combustion.berkeley.edu/gri-mech/</w:t>
      </w:r>
    </w:p>
    <w:p>
      <w:pPr>
        <w:pStyle w:val="BodyText"/>
      </w:pPr>
      <w:r>
        <w:t xml:space="preserve">[44] Dinsdale A, Zobac O, Kroupa A, Khvan A. Use of third generation data for the elements to model the thermodynamics of binary alloy systems: Part 1 - The critical assessment of data for the Al-Zn system. Calphad. 2020 Mar;68:101723. doi:10.1016/j.calphad.2019.101723</w:t>
      </w:r>
    </w:p>
    <w:p>
      <w:pPr>
        <w:pStyle w:val="BodyText"/>
      </w:pPr>
      <w:r>
        <w:t xml:space="preserve">[45] Massalski TB, editor. Binary Alloy Phase Diagrams. 2nd ed. Materials Park (OH): ASM International; 1990.</w:t>
      </w:r>
    </w:p>
    <w:bookmarkEnd w:id="2139"/>
    <w:bookmarkEnd w:id="2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092" Target="numbering.xml" /><Relationship Type="http://schemas.openxmlformats.org/officeDocument/2006/relationships/styles" Id="rId2091" Target="styles.xml" /><Relationship Type="http://schemas.openxmlformats.org/officeDocument/2006/relationships/settings" Id="rId2090" Target="settings.xml" /><Relationship Type="http://schemas.openxmlformats.org/officeDocument/2006/relationships/webSettings" Id="rId2089" Target="webSettings.xml" /><Relationship Type="http://schemas.openxmlformats.org/officeDocument/2006/relationships/fontTable" Id="rId2088" Target="fontTable.xml" /><Relationship Type="http://schemas.openxmlformats.org/officeDocument/2006/relationships/theme" Id="rId2087" Target="theme/theme1.xml" /><Relationship Type="http://schemas.openxmlformats.org/officeDocument/2006/relationships/footnotes" Id="rId2086" Target="footnotes.xml" /><Relationship Type="http://schemas.openxmlformats.org/officeDocument/2006/relationships/comments" Id="rId2085"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Id="rId1492" Target="media/rId1492.png" Type="http://schemas.openxmlformats.org/officeDocument/2006/relationships/image" /><Relationship Id="rId1495" Target="media/rId1495.png" Type="http://schemas.openxmlformats.org/officeDocument/2006/relationships/image" /><Relationship Id="rId1498" Target="media/rId1498.png" Type="http://schemas.openxmlformats.org/officeDocument/2006/relationships/image" /><Relationship Id="rId1513" Target="media/rId1513.png" Type="http://schemas.openxmlformats.org/officeDocument/2006/relationships/image" /><Relationship Id="rId1516" Target="media/rId1516.png" Type="http://schemas.openxmlformats.org/officeDocument/2006/relationships/image" /><Relationship Id="rId1519" Target="media/rId1519.png" Type="http://schemas.openxmlformats.org/officeDocument/2006/relationships/image" /><Relationship Id="rId1522" Target="media/rId1522.png" Type="http://schemas.openxmlformats.org/officeDocument/2006/relationships/image" /><Relationship Id="rId1525" Target="media/rId1525.png" Type="http://schemas.openxmlformats.org/officeDocument/2006/relationships/image" /><Relationship Id="rId1535" Target="media/rId1535.png" Type="http://schemas.openxmlformats.org/officeDocument/2006/relationships/image" /><Relationship Id="rId1538" Target="media/rId1538.png" Type="http://schemas.openxmlformats.org/officeDocument/2006/relationships/image" /><Relationship Id="rId1541" Target="media/rId1541.png" Type="http://schemas.openxmlformats.org/officeDocument/2006/relationships/image" /><Relationship Id="rId1556" Target="media/rId1556.png" Type="http://schemas.openxmlformats.org/officeDocument/2006/relationships/image" /><Relationship Id="rId1559" Target="media/rId1559.png" Type="http://schemas.openxmlformats.org/officeDocument/2006/relationships/image" /><Relationship Id="rId1562" Target="media/rId1562.png" Type="http://schemas.openxmlformats.org/officeDocument/2006/relationships/image" /><Relationship Id="rId1565" Target="media/rId1565.png" Type="http://schemas.openxmlformats.org/officeDocument/2006/relationships/image" /><Relationship Id="rId1568" Target="media/rId1568.png" Type="http://schemas.openxmlformats.org/officeDocument/2006/relationships/image" /><Relationship Id="rId1578" Target="media/rId1578.png" Type="http://schemas.openxmlformats.org/officeDocument/2006/relationships/image" /><Relationship Id="rId1581" Target="media/rId1581.png" Type="http://schemas.openxmlformats.org/officeDocument/2006/relationships/image" /><Relationship Id="rId1584" Target="media/rId1584.png" Type="http://schemas.openxmlformats.org/officeDocument/2006/relationships/image" /><Relationship Id="rId1599" Target="media/rId1599.png" Type="http://schemas.openxmlformats.org/officeDocument/2006/relationships/image" /><Relationship Id="rId1602" Target="media/rId1602.png" Type="http://schemas.openxmlformats.org/officeDocument/2006/relationships/image" /><Relationship Id="rId1605" Target="media/rId1605.png" Type="http://schemas.openxmlformats.org/officeDocument/2006/relationships/image" /><Relationship Id="rId1608" Target="media/rId1608.png" Type="http://schemas.openxmlformats.org/officeDocument/2006/relationships/image" /><Relationship Id="rId1611" Target="media/rId1611.png" Type="http://schemas.openxmlformats.org/officeDocument/2006/relationships/image" /><Relationship Id="rId1621" Target="media/rId1621.png" Type="http://schemas.openxmlformats.org/officeDocument/2006/relationships/image" /><Relationship Id="rId1624" Target="media/rId1624.png" Type="http://schemas.openxmlformats.org/officeDocument/2006/relationships/image" /><Relationship Id="rId1627" Target="media/rId1627.png" Type="http://schemas.openxmlformats.org/officeDocument/2006/relationships/image" /><Relationship Id="rId1642" Target="media/rId1642.png" Type="http://schemas.openxmlformats.org/officeDocument/2006/relationships/image" /><Relationship Id="rId1645" Target="media/rId1645.png" Type="http://schemas.openxmlformats.org/officeDocument/2006/relationships/image" /><Relationship Id="rId1648" Target="media/rId1648.png" Type="http://schemas.openxmlformats.org/officeDocument/2006/relationships/image" /><Relationship Id="rId1651" Target="media/rId1651.png" Type="http://schemas.openxmlformats.org/officeDocument/2006/relationships/image" /><Relationship Id="rId1654" Target="media/rId1654.png" Type="http://schemas.openxmlformats.org/officeDocument/2006/relationships/image" /><Relationship Id="rId1664" Target="media/rId1664.png" Type="http://schemas.openxmlformats.org/officeDocument/2006/relationships/image" /><Relationship Id="rId1667" Target="media/rId1667.png" Type="http://schemas.openxmlformats.org/officeDocument/2006/relationships/image" /><Relationship Id="rId1670" Target="media/rId1670.png" Type="http://schemas.openxmlformats.org/officeDocument/2006/relationships/image" /><Relationship Id="rId1685" Target="media/rId1685.png" Type="http://schemas.openxmlformats.org/officeDocument/2006/relationships/image" /><Relationship Id="rId1688" Target="media/rId1688.png" Type="http://schemas.openxmlformats.org/officeDocument/2006/relationships/image" /><Relationship Id="rId1691" Target="media/rId1691.png" Type="http://schemas.openxmlformats.org/officeDocument/2006/relationships/image" /><Relationship Id="rId1694" Target="media/rId1694.png" Type="http://schemas.openxmlformats.org/officeDocument/2006/relationships/image" /><Relationship Id="rId1697" Target="media/rId1697.png" Type="http://schemas.openxmlformats.org/officeDocument/2006/relationships/image" /><Relationship Id="rId1707" Target="media/rId1707.png" Type="http://schemas.openxmlformats.org/officeDocument/2006/relationships/image" /><Relationship Id="rId1710" Target="media/rId1710.png" Type="http://schemas.openxmlformats.org/officeDocument/2006/relationships/image" /><Relationship Id="rId1713" Target="media/rId1713.png" Type="http://schemas.openxmlformats.org/officeDocument/2006/relationships/image" /><Relationship Id="rId1728" Target="media/rId1728.png" Type="http://schemas.openxmlformats.org/officeDocument/2006/relationships/image" /><Relationship Id="rId1731" Target="media/rId1731.png" Type="http://schemas.openxmlformats.org/officeDocument/2006/relationships/image" /><Relationship Id="rId1734" Target="media/rId1734.png" Type="http://schemas.openxmlformats.org/officeDocument/2006/relationships/image" /><Relationship Id="rId1737" Target="media/rId1737.png" Type="http://schemas.openxmlformats.org/officeDocument/2006/relationships/image" /><Relationship Id="rId1740" Target="media/rId1740.png" Type="http://schemas.openxmlformats.org/officeDocument/2006/relationships/image" /><Relationship Id="rId1750" Target="media/rId1750.png" Type="http://schemas.openxmlformats.org/officeDocument/2006/relationships/image" /><Relationship Id="rId1753" Target="media/rId1753.png" Type="http://schemas.openxmlformats.org/officeDocument/2006/relationships/image" /><Relationship Id="rId1756" Target="media/rId1756.png" Type="http://schemas.openxmlformats.org/officeDocument/2006/relationships/image" /><Relationship Id="rId1771" Target="media/rId1771.png" Type="http://schemas.openxmlformats.org/officeDocument/2006/relationships/image" /><Relationship Id="rId1774" Target="media/rId1774.png" Type="http://schemas.openxmlformats.org/officeDocument/2006/relationships/image" /><Relationship Id="rId1777" Target="media/rId1777.png" Type="http://schemas.openxmlformats.org/officeDocument/2006/relationships/image" /><Relationship Id="rId1780" Target="media/rId1780.png" Type="http://schemas.openxmlformats.org/officeDocument/2006/relationships/image" /><Relationship Id="rId1783" Target="media/rId1783.png" Type="http://schemas.openxmlformats.org/officeDocument/2006/relationships/image" /><Relationship Id="rId1793" Target="media/rId1793.png" Type="http://schemas.openxmlformats.org/officeDocument/2006/relationships/image" /><Relationship Id="rId1796" Target="media/rId1796.png" Type="http://schemas.openxmlformats.org/officeDocument/2006/relationships/image" /><Relationship Id="rId1799" Target="media/rId1799.png" Type="http://schemas.openxmlformats.org/officeDocument/2006/relationships/image" /><Relationship Id="rId1814" Target="media/rId1814.png" Type="http://schemas.openxmlformats.org/officeDocument/2006/relationships/image" /><Relationship Id="rId1817" Target="media/rId1817.png" Type="http://schemas.openxmlformats.org/officeDocument/2006/relationships/image" /><Relationship Id="rId1820" Target="media/rId1820.png" Type="http://schemas.openxmlformats.org/officeDocument/2006/relationships/image" /><Relationship Id="rId1823" Target="media/rId1823.png" Type="http://schemas.openxmlformats.org/officeDocument/2006/relationships/image" /><Relationship Id="rId1826" Target="media/rId1826.png" Type="http://schemas.openxmlformats.org/officeDocument/2006/relationships/image" /><Relationship Id="rId1836" Target="media/rId1836.png" Type="http://schemas.openxmlformats.org/officeDocument/2006/relationships/image" /><Relationship Id="rId1839" Target="media/rId1839.png" Type="http://schemas.openxmlformats.org/officeDocument/2006/relationships/image" /><Relationship Id="rId1842" Target="media/rId1842.png" Type="http://schemas.openxmlformats.org/officeDocument/2006/relationships/image" /><Relationship Id="rId1857" Target="media/rId1857.png" Type="http://schemas.openxmlformats.org/officeDocument/2006/relationships/image" /><Relationship Id="rId1860" Target="media/rId1860.png" Type="http://schemas.openxmlformats.org/officeDocument/2006/relationships/image" /><Relationship Id="rId1863" Target="media/rId1863.png" Type="http://schemas.openxmlformats.org/officeDocument/2006/relationships/image" /><Relationship Id="rId1866" Target="media/rId1866.png" Type="http://schemas.openxmlformats.org/officeDocument/2006/relationships/image" /><Relationship Id="rId1869" Target="media/rId1869.png" Type="http://schemas.openxmlformats.org/officeDocument/2006/relationships/image" /><Relationship Id="rId1879" Target="media/rId1879.png" Type="http://schemas.openxmlformats.org/officeDocument/2006/relationships/image" /><Relationship Id="rId1882" Target="media/rId1882.png" Type="http://schemas.openxmlformats.org/officeDocument/2006/relationships/image" /><Relationship Id="rId1885" Target="media/rId1885.png" Type="http://schemas.openxmlformats.org/officeDocument/2006/relationships/image" /><Relationship Id="rId1900" Target="media/rId1900.png" Type="http://schemas.openxmlformats.org/officeDocument/2006/relationships/image" /><Relationship Id="rId1903" Target="media/rId1903.png" Type="http://schemas.openxmlformats.org/officeDocument/2006/relationships/image" /><Relationship Id="rId1906" Target="media/rId1906.png" Type="http://schemas.openxmlformats.org/officeDocument/2006/relationships/image" /><Relationship Id="rId1909" Target="media/rId1909.png" Type="http://schemas.openxmlformats.org/officeDocument/2006/relationships/image" /><Relationship Id="rId1912" Target="media/rId1912.png" Type="http://schemas.openxmlformats.org/officeDocument/2006/relationships/image" /><Relationship Id="rId1922" Target="media/rId1922.png" Type="http://schemas.openxmlformats.org/officeDocument/2006/relationships/image" /><Relationship Id="rId1925" Target="media/rId1925.png" Type="http://schemas.openxmlformats.org/officeDocument/2006/relationships/image" /><Relationship Id="rId1928" Target="media/rId1928.png" Type="http://schemas.openxmlformats.org/officeDocument/2006/relationships/image" /><Relationship Id="rId1943" Target="media/rId1943.png" Type="http://schemas.openxmlformats.org/officeDocument/2006/relationships/image" /><Relationship Id="rId1946" Target="media/rId1946.png" Type="http://schemas.openxmlformats.org/officeDocument/2006/relationships/image" /><Relationship Id="rId1949" Target="media/rId1949.png" Type="http://schemas.openxmlformats.org/officeDocument/2006/relationships/image" /><Relationship Id="rId1952" Target="media/rId1952.png" Type="http://schemas.openxmlformats.org/officeDocument/2006/relationships/image" /><Relationship Id="rId1955" Target="media/rId1955.png" Type="http://schemas.openxmlformats.org/officeDocument/2006/relationships/image" /><Relationship Id="rId1965" Target="media/rId1965.png" Type="http://schemas.openxmlformats.org/officeDocument/2006/relationships/image" /><Relationship Id="rId1968" Target="media/rId1968.png" Type="http://schemas.openxmlformats.org/officeDocument/2006/relationships/image" /><Relationship Id="rId1971" Target="media/rId1971.png" Type="http://schemas.openxmlformats.org/officeDocument/2006/relationships/image" /><Relationship Id="rId1986" Target="media/rId1986.png" Type="http://schemas.openxmlformats.org/officeDocument/2006/relationships/image" /><Relationship Id="rId1989" Target="media/rId1989.png" Type="http://schemas.openxmlformats.org/officeDocument/2006/relationships/image" /><Relationship Id="rId1992" Target="media/rId1992.png" Type="http://schemas.openxmlformats.org/officeDocument/2006/relationships/image" /><Relationship Id="rId1995" Target="media/rId1995.png" Type="http://schemas.openxmlformats.org/officeDocument/2006/relationships/image" /><Relationship Id="rId1998" Target="media/rId1998.png" Type="http://schemas.openxmlformats.org/officeDocument/2006/relationships/image" /><Relationship Id="rId2008" Target="media/rId2008.png" Type="http://schemas.openxmlformats.org/officeDocument/2006/relationships/image" /><Relationship Id="rId2011" Target="media/rId2011.png" Type="http://schemas.openxmlformats.org/officeDocument/2006/relationships/image" /><Relationship Id="rId2014" Target="media/rId2014.png" Type="http://schemas.openxmlformats.org/officeDocument/2006/relationships/image" /><Relationship Id="rId2029" Target="media/rId2029.png" Type="http://schemas.openxmlformats.org/officeDocument/2006/relationships/image" /><Relationship Id="rId2032" Target="media/rId2032.png" Type="http://schemas.openxmlformats.org/officeDocument/2006/relationships/image" /><Relationship Id="rId2035" Target="media/rId2035.png" Type="http://schemas.openxmlformats.org/officeDocument/2006/relationships/image" /><Relationship Id="rId2038" Target="media/rId2038.png" Type="http://schemas.openxmlformats.org/officeDocument/2006/relationships/image" /><Relationship Id="rId2041" Target="media/rId2041.png" Type="http://schemas.openxmlformats.org/officeDocument/2006/relationships/image" /><Relationship Id="rId2051" Target="media/rId2051.png" Type="http://schemas.openxmlformats.org/officeDocument/2006/relationships/image" /><Relationship Id="rId2054" Target="media/rId2054.png" Type="http://schemas.openxmlformats.org/officeDocument/2006/relationships/image" /><Relationship Id="rId2057" Target="media/rId2057.png" Type="http://schemas.openxmlformats.org/officeDocument/2006/relationships/image" /><Relationship Id="rId2072" Target="media/rId2072.png" Type="http://schemas.openxmlformats.org/officeDocument/2006/relationships/image" /><Relationship Id="rId2075" Target="media/rId2075.png" Type="http://schemas.openxmlformats.org/officeDocument/2006/relationships/image" /><Relationship Id="rId2078" Target="media/rId2078.png" Type="http://schemas.openxmlformats.org/officeDocument/2006/relationships/image" /><Relationship Id="rId2081" Target="media/rId2081.png" Type="http://schemas.openxmlformats.org/officeDocument/2006/relationships/image" /><Relationship Id="rId2084" Target="media/rId2084.png" Type="http://schemas.openxmlformats.org/officeDocument/2006/relationships/image" /><Relationship Type="http://schemas.openxmlformats.org/officeDocument/2006/relationships/image" Id="rId2094" Target="media/rId2094.png" /><Relationship Type="http://schemas.openxmlformats.org/officeDocument/2006/relationships/image" Id="rId2097" Target="media/rId2097.png" /><Relationship Type="http://schemas.openxmlformats.org/officeDocument/2006/relationships/image" Id="rId2100" Target="media/rId2100.png" /><Relationship Type="http://schemas.openxmlformats.org/officeDocument/2006/relationships/image" Id="rId2115" Target="media/rId2115.png" /><Relationship Type="http://schemas.openxmlformats.org/officeDocument/2006/relationships/image" Id="rId2118" Target="media/rId2118.png" /><Relationship Type="http://schemas.openxmlformats.org/officeDocument/2006/relationships/image" Id="rId2121" Target="media/rId2121.png" /><Relationship Type="http://schemas.openxmlformats.org/officeDocument/2006/relationships/image" Id="rId2124" Target="media/rId2124.png" /><Relationship Type="http://schemas.openxmlformats.org/officeDocument/2006/relationships/image" Id="rId2127" Target="media/rId2127.png" /><Relationship Type="http://schemas.openxmlformats.org/officeDocument/2006/relationships/image" Id="rId2130" Target="media/rId21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2026-09-09T01:46:55Z</dcterms:created>
  <dcterms:modified xsi:type="dcterms:W3CDTF">2026-09-09T01:46:55Z</dcterms:modified>
</cp:coreProperties>
</file>

<file path=docProps/custom.xml><?xml version="1.0" encoding="utf-8"?>
<Properties xmlns="http://schemas.openxmlformats.org/officeDocument/2006/custom-properties" xmlns:vt="http://schemas.openxmlformats.org/officeDocument/2006/docPropsVTypes"/>
</file>