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8d9333365672ef576e8b4652660e7ce735de326"/>
    <w:p>
      <w:pPr>
        <w:pStyle w:val="Heading1"/>
      </w:pPr>
      <w:r>
        <w:t xml:space="preserve">Hephaestus: an open-source engine and database for the thermodynamics and phase diagrams of molten oxide slags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 oxide slag database exists at all, so every practical slag calculation still depends on closed data.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and it calculates phase equilibria up to full ternary isothermal sections and liquidus projections. Every energy path is validated to machine precision against pycalphad. The companion database covers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assembled solely from published measurements with per-value provenance and documented limits. The code is MIT licensed and the database is CC BY 4.0.</w:t>
      </w:r>
    </w:p>
    <w:p>
      <w:pPr>
        <w:pStyle w:val="BodyText"/>
      </w:pPr>
      <w:r>
        <w:rPr>
          <w:b/>
          <w:bCs/>
        </w:rPr>
        <w:t xml:space="preserve">Keywords:</w:t>
      </w:r>
      <w:r>
        <w:t xml:space="preserve"> </w:t>
      </w:r>
      <w:r>
        <w:t xml:space="preserve">CALPHAD; molten slag; modified quasichemical model; thermodynamic database; phase diagram; WebAssembly; oxide melts; open data</w:t>
      </w:r>
    </w:p>
    <w:bookmarkStart w:id="22" w:name="overview"/>
    <w:p>
      <w:pPr>
        <w:pStyle w:val="Heading2"/>
      </w:pPr>
      <w:r>
        <w:t xml:space="preserve">(1) Overview</w:t>
      </w:r>
    </w:p>
    <w:bookmarkStart w:id="9"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the situation has not improved at all.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w:t>
      </w:r>
    </w:p>
    <w:bookmarkEnd w:id="9"/>
    <w:bookmarkStart w:id="19"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binds it through the cffi ABI interface,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11" name="Picture"/>
            <a:graphic>
              <a:graphicData uri="http://schemas.openxmlformats.org/drawingml/2006/picture">
                <pic:pic>
                  <pic:nvPicPr>
                    <pic:cNvPr descr="figures/fig1_architecture.png" id="12" name="Picture"/>
                    <pic:cNvPicPr>
                      <a:picLocks noChangeArrowheads="1" noChangeAspect="1"/>
                    </pic:cNvPicPr>
                  </pic:nvPicPr>
                  <pic:blipFill>
                    <a:blip r:embed="rId10"/>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[13], with sublattice site fractions, per-sublattice ideal entropy, and Redlich-Kister excess terms; the Gibbs energy is normalized per mole of real atoms, so vacancy-bearing phases come out on the same basis pycalphad uses. A reader for the ChemSage data format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four tools: a calculator over any loaded ChemSage file,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(Figure 2), and an interactive eutectic builder for user-entered systems. Everything runs client side. The page holds a strict content security policy, makes no third-party requests, and never transmits a loaded file, which matters to industrial users whose compositions are confidential.</w:t>
      </w:r>
    </w:p>
    <w:p>
      <w:pPr>
        <w:pStyle w:val="CaptionedFigure"/>
      </w:pPr>
      <w:r>
        <w:drawing>
          <wp:inline>
            <wp:extent cx="4754880" cy="3902788"/>
            <wp:effectExtent b="0" l="0" r="0" t="0"/>
            <wp:docPr descr="Figure 2: The live solver in the browser application. The user loads the shipped database, picks a temperature, and presses Compute; the WebAssembly engine then solves the full FeO-MgO-SiO2 phase assemblage client side (here 1023 composition samples and 512 tie-facets in under half a second) and reports the composition and stable phases under the cursor on hover." title="" id="14" name="Picture"/>
            <a:graphic>
              <a:graphicData uri="http://schemas.openxmlformats.org/drawingml/2006/picture">
                <pic:pic>
                  <pic:nvPicPr>
                    <pic:cNvPr descr="figures/fig2_browser_app.png" id="15" name="Picture"/>
                    <pic:cNvPicPr>
                      <a:picLocks noChangeArrowheads="1" noChangeAspect="1"/>
                    </pic:cNvPicPr>
                  </pic:nvPicPr>
                  <pic:blipFill>
                    <a:blip r:embed="rId13"/>
                    <a:stretch>
                      <a:fillRect/>
                    </a:stretch>
                  </pic:blipFill>
                  <pic:spPr bwMode="auto">
                    <a:xfrm>
                      <a:off x="0" y="0"/>
                      <a:ext cx="4754880" cy="3902788"/>
                    </a:xfrm>
                    <a:prstGeom prst="rect">
                      <a:avLst/>
                    </a:prstGeom>
                    <a:noFill/>
                    <a:ln w="9525">
                      <a:noFill/>
                      <a:headEnd/>
                      <a:tailEnd/>
                    </a:ln>
                  </pic:spPr>
                </pic:pic>
              </a:graphicData>
            </a:graphic>
          </wp:inline>
        </w:drawing>
      </w:r>
    </w:p>
    <w:p>
      <w:pPr>
        <w:pStyle w:val="ImageCaption"/>
      </w:pPr>
      <w:r>
        <w:t xml:space="preserve">Figure 2: The live solver in the browser application.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and reports the composition and stable phases under the cursor on hover.</w:t>
      </w:r>
    </w:p>
    <w:p>
      <w:pPr>
        <w:pStyle w:val="BodyText"/>
      </w:pPr>
      <w:r>
        <w:t xml:space="preserve">The database is the second half of the contribution. Endmember oxide thermodynamics come from open compilations, chiefly Robie and Hemingway [14] and the NIST-JANAF tables [15]. Liquid excess parameters are fitted to published measurements: Knudsen-effusion and gas-slag equilibrium activities for CaO-SiO</w:t>
      </w:r>
      <w:r>
        <w:rPr>
          <w:vertAlign w:val="subscript"/>
        </w:rPr>
        <w:t xml:space="preserve">2</w:t>
      </w:r>
      <w:r>
        <w:t xml:space="preserve"> </w:t>
      </w:r>
      <w:r>
        <w:t xml:space="preserve">[16,17], the measured iron-saturated activities collected by Björkman for FeO-SiO</w:t>
      </w:r>
      <w:r>
        <w:rPr>
          <w:vertAlign w:val="subscript"/>
        </w:rPr>
        <w:t xml:space="preserve">2</w:t>
      </w:r>
      <w:r>
        <w:t xml:space="preserve"> </w:t>
      </w:r>
      <w:r>
        <w:t xml:space="preserve">[18], and the melting and immiscibility constraints of the classical phase diagram studies [19-21]. Solution-calorimetric compound enthalpies [22] anchor the solids. Where published calorimetry cannot constrain a liquid, melt-mixing enthalpies from machine-learned interatomic potentials [23,24] serve as auxiliary anchors after bias correction against measured formation enthalpies; each such use is recorded in the provenance files. The olivine and orthopyroxene solid solutions take their endmembers from Robie and Hemingway [14] and their mixing parameters from solution calorimetry [25]. The assembled ternary reproduces the topology of the measured MgO-FeO-SiO</w:t>
      </w:r>
      <w:r>
        <w:rPr>
          <w:vertAlign w:val="subscript"/>
        </w:rPr>
        <w:t xml:space="preserve">2</w:t>
      </w:r>
      <w:r>
        <w:t xml:space="preserve"> </w:t>
      </w:r>
      <w:r>
        <w:t xml:space="preserve">liquidus surface [19], with the olivine field quantitative and the known offsets stated. No parameter is taken from any prior assessment or commercial database; published assessments of these systems [26] are used only as method literature.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1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7" name="Picture"/>
            <a:graphic>
              <a:graphicData uri="http://schemas.openxmlformats.org/drawingml/2006/picture">
                <pic:pic>
                  <pic:nvPicPr>
                    <pic:cNvPr descr="figures/fig3_ternary.png" id="18" name="Picture"/>
                    <pic:cNvPicPr>
                      <a:picLocks noChangeArrowheads="1" noChangeAspect="1"/>
                    </pic:cNvPicPr>
                  </pic:nvPicPr>
                  <pic:blipFill>
                    <a:blip r:embed="rId16"/>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Fitted liquid excess (J/mol)</w:t>
            </w:r>
          </w:p>
        </w:tc>
        <w:tc>
          <w:tcPr/>
          <w:p>
            <w:pPr>
              <w:pStyle w:val="Compact"/>
            </w:pPr>
            <w:r>
              <w:t xml:space="preserve">Fitted to</w:t>
            </w:r>
          </w:p>
        </w:tc>
        <w:tc>
          <w:tcPr/>
          <w:p>
            <w:pPr>
              <w:pStyle w:val="Compact"/>
            </w:pPr>
            <w:r>
              <w:t xml:space="preserve">Reproduces; known limit</w:t>
            </w:r>
          </w:p>
        </w:tc>
      </w:tr>
      <w:tr>
        <w:tc>
          <w:tcPr/>
          <w:p>
            <w:pPr>
              <w:pStyle w:val="Compact"/>
            </w:pPr>
            <w:r>
              <w:t xml:space="preserve">CaO-SiO</w:t>
            </w:r>
            <w:r>
              <w:rPr>
                <w:vertAlign w:val="subscript"/>
              </w:rPr>
              <w:t xml:space="preserve">2</w:t>
            </w:r>
          </w:p>
        </w:tc>
        <w:tc>
          <w:tcPr/>
          <w:p>
            <w:pPr>
              <w:pStyle w:val="Compact"/>
            </w:pPr>
            <w:r>
              <w:t xml:space="preserve">(-189764 + 15.71 T) + 57171 χ</w:t>
            </w:r>
            <w:r>
              <w:rPr>
                <w:vertAlign w:val="subscript"/>
              </w:rPr>
              <w:t xml:space="preserve">Ca</w:t>
            </w:r>
          </w:p>
        </w:tc>
        <w:tc>
          <w:tcPr/>
          <w:p>
            <w:pPr>
              <w:pStyle w:val="Compact"/>
            </w:pPr>
            <w:r>
              <w:t xml:space="preserve">silica activities [16,17]; bias-corrected melt-mixing enthalpies [23,24]; endmember and compound melting</w:t>
            </w:r>
          </w:p>
        </w:tc>
        <w:tc>
          <w:tcPr/>
          <w:p>
            <w:pPr>
              <w:pStyle w:val="Compact"/>
            </w:pPr>
            <w:r>
              <w:t xml:space="preserve">mixing enthalpy near -58 kJ/mol at the metasilicate; silica-rich miscibility gap at the right composition but high in temperature</w:t>
            </w:r>
          </w:p>
        </w:tc>
      </w:tr>
      <w:tr>
        <w:tc>
          <w:tcPr/>
          <w:p>
            <w:pPr>
              <w:pStyle w:val="Compact"/>
            </w:pPr>
            <w:r>
              <w:t xml:space="preserve">MgO-SiO</w:t>
            </w:r>
            <w:r>
              <w:rPr>
                <w:vertAlign w:val="subscript"/>
              </w:rPr>
              <w:t xml:space="preserve">2</w:t>
            </w:r>
          </w:p>
        </w:tc>
        <w:tc>
          <w:tcPr/>
          <w:p>
            <w:pPr>
              <w:pStyle w:val="Compact"/>
            </w:pPr>
            <w:r>
              <w:t xml:space="preserve">five terms in the equivalent fraction Y</w:t>
            </w:r>
            <w:r>
              <w:rPr>
                <w:vertAlign w:val="subscript"/>
              </w:rPr>
              <w:t xml:space="preserve">SiO2</w:t>
            </w:r>
            <w:r>
              <w:t xml:space="preserve">, each a + b T</w:t>
            </w:r>
          </w:p>
        </w:tc>
        <w:tc>
          <w:tcPr/>
          <w:p>
            <w:pPr>
              <w:pStyle w:val="Compact"/>
            </w:pPr>
            <w:r>
              <w:t xml:space="preserve">measured invariants and immiscibility data [20,21] from five studies, the measured consolute, and solution calorimetry [22]</w:t>
            </w:r>
          </w:p>
        </w:tc>
        <w:tc>
          <w:tcPr/>
          <w:p>
            <w:pPr>
              <w:pStyle w:val="Compact"/>
            </w:pPr>
            <w:r>
              <w:t xml:space="preserve">all four invariants within about 40 °C; calorimetry matched; stable two-liquid field about 340 °C high</w:t>
            </w:r>
          </w:p>
        </w:tc>
      </w:tr>
      <w:tr>
        <w:tc>
          <w:tcPr/>
          <w:p>
            <w:pPr>
              <w:pStyle w:val="Compact"/>
            </w:pPr>
            <w:r>
              <w:t xml:space="preserve">FeO-SiO</w:t>
            </w:r>
            <w:r>
              <w:rPr>
                <w:vertAlign w:val="subscript"/>
              </w:rPr>
              <w:t xml:space="preserve">2</w:t>
            </w:r>
          </w:p>
        </w:tc>
        <w:tc>
          <w:tcPr/>
          <w:p>
            <w:pPr>
              <w:pStyle w:val="Compact"/>
            </w:pPr>
            <w:r>
              <w:t xml:space="preserve">-42839 + 17.83 T</w:t>
            </w:r>
          </w:p>
        </w:tc>
        <w:tc>
          <w:tcPr/>
          <w:p>
            <w:pPr>
              <w:pStyle w:val="Compact"/>
            </w:pPr>
            <w:r>
              <w:t xml:space="preserve">23 iron-saturated activities across two isotherms [18]</w:t>
            </w:r>
          </w:p>
        </w:tc>
        <w:tc>
          <w:tcPr/>
          <w:p>
            <w:pPr>
              <w:pStyle w:val="Compact"/>
            </w:pPr>
            <w:r>
              <w:t xml:space="preserve">RMS ln a = 0.067; fayalite congruent melting within a few degrees</w:t>
            </w:r>
          </w:p>
        </w:tc>
      </w:tr>
      <w:t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[14,25]</w:t>
            </w:r>
          </w:p>
        </w:tc>
        <w:tc>
          <w:tcPr/>
          <w:p>
            <w:pPr>
              <w:pStyle w:val="Compact"/>
            </w:pPr>
            <w:r>
              <w:t xml:space="preserve">measured liquidus-surface topology [19]; stable phase sets match pycalphad at 15 of 16 points</w:t>
            </w:r>
          </w:p>
        </w:tc>
      </w:tr>
    </w:tbl>
    <w:p>
      <w:pPr>
        <w:pStyle w:val="BodyText"/>
      </w:pPr>
      <w:r>
        <w:t xml:space="preserve">Table 1: The assessed liquids. Full source lists, modeling judgments, and limits are in each system’s provenance file in the repository.</w:t>
      </w:r>
    </w:p>
    <w:bookmarkEnd w:id="19"/>
    <w:bookmarkStart w:id="20"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20"/>
    <w:bookmarkStart w:id="21"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2 lists the checks. The test suite, 40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Agreement</w:t>
            </w:r>
          </w:p>
        </w:tc>
      </w:tr>
      <w:tr>
        <w:tc>
          <w:tcPr/>
          <w:p>
            <w:pPr>
              <w:pStyle w:val="Compact"/>
            </w:pPr>
            <w:r>
              <w:t xml:space="preserve">Energy paths (MQMQA reference, ideal, excess; CEF; stoichiometric)</w:t>
            </w:r>
          </w:p>
        </w:tc>
        <w:tc>
          <w:tcPr/>
          <w:p>
            <w:pPr>
              <w:pStyle w:val="Compact"/>
            </w:pPr>
            <w:r>
              <w:t xml:space="preserve">shared parameter sets, every phase model</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ChemSage reader</w:t>
            </w:r>
          </w:p>
        </w:tc>
        <w:tc>
          <w:tcPr/>
          <w:p>
            <w:pPr>
              <w:pStyle w:val="Compact"/>
            </w:pPr>
            <w:r>
              <w:t xml:space="preserve">pycalphad’s open test databases, no pycalphad at runtime</w:t>
            </w:r>
          </w:p>
        </w:tc>
        <w:tc>
          <w:tcPr/>
          <w:p>
            <w:pPr>
              <w:pStyle w:val="Compact"/>
            </w:pPr>
            <w:r>
              <w:t xml:space="preserve">energies reproduced to machine precision</w:t>
            </w:r>
          </w:p>
        </w:tc>
      </w:tr>
      <w:tr>
        <w:tc>
          <w:tcPr/>
          <w:p>
            <w:pPr>
              <w:pStyle w:val="Compact"/>
            </w:pPr>
            <w:r>
              <w:t xml:space="preserve">CEF kernel</w:t>
            </w:r>
          </w:p>
        </w:tc>
        <w:tc>
          <w:tcPr/>
          <w:p>
            <w:pPr>
              <w:pStyle w:val="Compact"/>
            </w:pPr>
            <w:r>
              <w:t xml:space="preserve">multicomponent industrial file with charges, vacancies, ln T terms</w:t>
            </w:r>
          </w:p>
        </w:tc>
        <w:tc>
          <w:tcPr/>
          <w:p>
            <w:pPr>
              <w:pStyle w:val="Compact"/>
            </w:pPr>
            <w:r>
              <w:t xml:space="preserve">machine precision</w:t>
            </w:r>
          </w:p>
        </w:tc>
      </w:tr>
      <w:tr>
        <w:tc>
          <w:tcPr/>
          <w:p>
            <w:pPr>
              <w:pStyle w:val="Compact"/>
            </w:pPr>
            <w:r>
              <w:t xml:space="preserve">Multiphase equilibrium</w:t>
            </w:r>
          </w:p>
        </w:tc>
        <w:tc>
          <w:tcPr/>
          <w:p>
            <w:pPr>
              <w:pStyle w:val="Compact"/>
            </w:pPr>
            <w:r>
              <w:t xml:space="preserve">liquid + two solid solutions + three oxides, 16 probe points</w:t>
            </w:r>
          </w:p>
        </w:tc>
        <w:tc>
          <w:tcPr/>
          <w:p>
            <w:pPr>
              <w:pStyle w:val="Compact"/>
            </w:pPr>
            <w:r>
              <w:t xml:space="preserve">phase sets at 15 of 16; Gibbs energies within ~10 J per mole of atoms</w:t>
            </w:r>
          </w:p>
        </w:tc>
      </w:tr>
      <w:tr>
        <w:tc>
          <w:tcPr/>
          <w:p>
            <w:pPr>
              <w:pStyle w:val="Compact"/>
            </w:pPr>
            <w:r>
              <w:t xml:space="preserve">WebAssembly build</w:t>
            </w:r>
          </w:p>
        </w:tc>
        <w:tc>
          <w:tcPr/>
          <w:p>
            <w:pPr>
              <w:pStyle w:val="Compact"/>
            </w:pPr>
            <w:r>
              <w:t xml:space="preserve">in-browser against the same oracle values</w:t>
            </w:r>
          </w:p>
        </w:tc>
        <w:tc>
          <w:tcPr/>
          <w:p>
            <w:pPr>
              <w:pStyle w:val="Compact"/>
            </w:pPr>
            <w:r>
              <w:t xml:space="preserve">machine precision</w:t>
            </w:r>
          </w:p>
        </w:tc>
      </w:tr>
    </w:tbl>
    <w:p>
      <w:pPr>
        <w:pStyle w:val="BodyText"/>
      </w:pPr>
      <w:r>
        <w:t xml:space="preserve">Table 2: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[18],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[19].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21"/>
    <w:bookmarkEnd w:id="22"/>
    <w:bookmarkStart w:id="30" w:name="availability"/>
    <w:p>
      <w:pPr>
        <w:pStyle w:val="Heading2"/>
      </w:pPr>
      <w:r>
        <w:t xml:space="preserve">(2) Availability</w:t>
      </w:r>
    </w:p>
    <w:bookmarkStart w:id="23"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23"/>
    <w:bookmarkStart w:id="24"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24"/>
    <w:bookmarkStart w:id="25"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25"/>
    <w:bookmarkStart w:id="26"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26"/>
    <w:bookmarkStart w:id="27" w:name="list-of-contributors"/>
    <w:p>
      <w:pPr>
        <w:pStyle w:val="Heading3"/>
      </w:pPr>
      <w:r>
        <w:t xml:space="preserve">List of contributors</w:t>
      </w:r>
    </w:p>
    <w:p>
      <w:pPr>
        <w:pStyle w:val="FirstParagraph"/>
      </w:pPr>
      <w:r>
        <w:t xml:space="preserve">Michael E. Bustamante (design, implementation, validation, data curation).</w:t>
      </w:r>
    </w:p>
    <w:bookmarkEnd w:id="27"/>
    <w:bookmarkStart w:id="28"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https://github.com/odinzen/hephaestus-mqmqa-public/releases/tag/v0.1.0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v0.1.0</w:t>
      </w:r>
    </w:p>
    <w:p>
      <w:pPr>
        <w:pStyle w:val="Compact"/>
        <w:numPr>
          <w:ilvl w:val="0"/>
          <w:numId w:val="1001"/>
        </w:numPr>
      </w:pPr>
      <w:r>
        <w:t xml:space="preserve">Date published: 2026-08-25</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2026-08-25</w:t>
      </w:r>
    </w:p>
    <w:bookmarkEnd w:id="28"/>
    <w:bookmarkStart w:id="29" w:name="language"/>
    <w:p>
      <w:pPr>
        <w:pStyle w:val="Heading3"/>
      </w:pPr>
      <w:r>
        <w:t xml:space="preserve">Language</w:t>
      </w:r>
    </w:p>
    <w:p>
      <w:pPr>
        <w:pStyle w:val="FirstParagraph"/>
      </w:pPr>
      <w:r>
        <w:t xml:space="preserve">English.</w:t>
      </w:r>
    </w:p>
    <w:bookmarkEnd w:id="29"/>
    <w:bookmarkEnd w:id="30"/>
    <w:bookmarkStart w:id="31"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Natural extensions are further oxide systems, the remaining ChemSage solution models, and a C port of the multiphase hull for fully in-browser phase diagrams of arbitrary systems. Contributions and issues are handled through the GitHub repository.</w:t>
      </w:r>
    </w:p>
    <w:bookmarkEnd w:id="31"/>
    <w:bookmarkStart w:id="32"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v0.1.0. The database files and their provenance records are in the repository’s data directory under CC BY 4.0.</w:t>
      </w:r>
    </w:p>
    <w:bookmarkEnd w:id="32"/>
    <w:bookmarkStart w:id="33"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33"/>
    <w:bookmarkStart w:id="34" w:name="funding-statement"/>
    <w:p>
      <w:pPr>
        <w:pStyle w:val="Heading2"/>
      </w:pPr>
      <w:r>
        <w:t xml:space="preserve">Funding statement</w:t>
      </w:r>
    </w:p>
    <w:p>
      <w:pPr>
        <w:pStyle w:val="FirstParagraph"/>
      </w:pPr>
      <w:r>
        <w:t xml:space="preserve">The development of this software received no external funding.</w:t>
      </w:r>
    </w:p>
    <w:bookmarkEnd w:id="34"/>
    <w:bookmarkStart w:id="35"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35"/>
    <w:bookmarkStart w:id="36"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Hillert M. The compound energy formalism. Journal of Alloys and Compounds. 2001 May;320(2):161–76. doi:10.1016/S0925-8388(00)01481-X</w:t>
      </w:r>
    </w:p>
    <w:p>
      <w:pPr>
        <w:pStyle w:val="BodyText"/>
      </w:pPr>
      <w:r>
        <w:t xml:space="preserve">[14]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[15] Chase MW Jr. NIST-JANAF Thermochemical Tables, 4th edition. Journal of Physical and Chemical Reference Data, Monograph 9. Woodbury, NY: American Institute of Physics; 1998.</w:t>
      </w:r>
    </w:p>
    <w:p>
      <w:pPr>
        <w:pStyle w:val="BodyText"/>
      </w:pPr>
      <w:r>
        <w:t xml:space="preserve">[16] Kay DAR, Taylor J. Activities of silica in the lime + alumina + silica system. Trans Faraday Soc. 1960;56:1372. doi:10.1039/tf9605601372</w:t>
      </w:r>
    </w:p>
    <w:p>
      <w:pPr>
        <w:pStyle w:val="BodyText"/>
      </w:pPr>
      <w:r>
        <w:t xml:space="preserve">[17] Stolyarova VL, Shornikov SI, Ivanov GG, Shultz MM. High Temperature Mass Spectrometric Study of Thermodynamic Properties of the CaO-SiO2 System. J Electrochem Soc. 1991 Dec 1;138(12):3710–4. doi:10.1149/1.2085485</w:t>
      </w:r>
    </w:p>
    <w:p>
      <w:pPr>
        <w:pStyle w:val="BodyText"/>
      </w:pPr>
      <w:r>
        <w:t xml:space="preserve">[18] Björkman B. An assessment of the system Fe-O-SiO2 using a structure based model for the liquid silicate. Calphad. 1985 Jul;9(3):271–82. doi:10.1016/0364-5916(85)90012-4</w:t>
      </w:r>
    </w:p>
    <w:p>
      <w:pPr>
        <w:pStyle w:val="BodyText"/>
      </w:pPr>
      <w:r>
        <w:t xml:space="preserve">[19] Bowen NL, Schairer JF. The system MgO-FeO-SiO2. American Journal of Science. 1935 Feb 1;s5-29(170):151–217. doi:10.2475/ajs.s5-29.170.151</w:t>
      </w:r>
    </w:p>
    <w:p>
      <w:pPr>
        <w:pStyle w:val="BodyText"/>
      </w:pPr>
      <w:r>
        <w:t xml:space="preserve">[20] Greig JW. Immiscibility in silicate melts; Part I. American Journal of Science. 1927 Jan 1;s5-13(73):1–44. doi:10.2475/ajs.s5-13.73.1</w:t>
      </w:r>
    </w:p>
    <w:p>
      <w:pPr>
        <w:pStyle w:val="BodyText"/>
      </w:pPr>
      <w:r>
        <w:t xml:space="preserve">[21] Greig JW. Immiscibility in silicate melts; Part II. American Journal of Science. 1927 Feb 1;s5-13(74):133–54. doi:10.2475/ajs.s5-13.74.133</w:t>
      </w:r>
    </w:p>
    <w:p>
      <w:pPr>
        <w:pStyle w:val="BodyText"/>
      </w:pPr>
      <w:r>
        <w:t xml:space="preserve">[22]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[23] Yang H, Hu C, Zhou Y, Liu X, Shi Y, Li J, et al. MatterSim: A Deep Learning Atomistic Model Across Elements, Temperatures and Pressures. arXiv; 2024. doi:10.48550/ARXIV.2405.04967</w:t>
      </w:r>
    </w:p>
    <w:p>
      <w:pPr>
        <w:pStyle w:val="BodyText"/>
      </w:pPr>
      <w:r>
        <w:t xml:space="preserve">[24] Neumann M, Gin J, Rhodes B, Bennett S, Li Z, Choubisa H, et al. Orb: A Fast, Scalable Neural Network Potential. arXiv; 2024. doi:10.48550/ARXIV.2410.22570</w:t>
      </w:r>
    </w:p>
    <w:p>
      <w:pPr>
        <w:pStyle w:val="BodyText"/>
      </w:pPr>
      <w:r>
        <w:t xml:space="preserve">[25] Wood BJ, Kleppa OJ. Thermochemistry of forsterite-fayalite olivine solutions. Geochimica et Cosmochimica Acta. 1981 Apr;45(4):529–34. doi:10.1016/0016-7037(81)90185-X</w:t>
      </w:r>
    </w:p>
    <w:p>
      <w:pPr>
        <w:pStyle w:val="BodyText"/>
      </w:pPr>
      <w:r>
        <w:t xml:space="preserve">[26] Wu P, Eriksson G, Pelton AD, Blander M. Prediction of the Thermodynamic Properties and Phase Diagrams of Silicate Systems-Evaluation of the FeO-MgO-SiO2 System. ISIJ International. 1993;33(1):26–35. doi:10.2355/isijinternational.33.26</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2026-08-26T03:07:14Z</dcterms:created>
  <dcterms:modified xsi:type="dcterms:W3CDTF">2026-08-26T03:07:14Z</dcterms:modified>
</cp:coreProperties>
</file>

<file path=docProps/custom.xml><?xml version="1.0" encoding="utf-8"?>
<Properties xmlns="http://schemas.openxmlformats.org/officeDocument/2006/custom-properties" xmlns:vt="http://schemas.openxmlformats.org/officeDocument/2006/docPropsVTypes"/>
</file>