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63.png" ContentType="image/png"/>
  <Override PartName="/word/media/rId2324.png" ContentType="image/png"/>
  <Override PartName="/word/media/rId2327.png" ContentType="image/png"/>
  <Override PartName="/word/media/rId2330.png" ContentType="image/png"/>
  <Override PartName="/word/media/rId2345.png" ContentType="image/png"/>
  <Override PartName="/word/media/rId2348.png" ContentType="image/png"/>
  <Override PartName="/word/media/rId2351.png" ContentType="image/png"/>
  <Override PartName="/word/media/rId2354.png" ContentType="image/png"/>
  <Override PartName="/word/media/rId2357.png" ContentType="image/png"/>
  <Override PartName="/word/media/rId23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73"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 Gabriel Bustamante</w:t>
      </w:r>
    </w:p>
    <w:p>
      <w:pPr>
        <w:pStyle w:val="BodyText"/>
      </w:pPr>
      <w:r>
        <w:t xml:space="preserve">Odinzen LLC, Houston, TX, United States</w:t>
      </w:r>
    </w:p>
    <w:p>
      <w:pPr>
        <w:pStyle w:val="BodyText"/>
      </w:pPr>
      <w:r>
        <w:t xml:space="preserve">Corresponding author: Michael E. Bustamante (michaelbusta@odinzen.io)</w:t>
      </w:r>
    </w:p>
    <w:p>
      <w:pPr>
        <w:pStyle w:val="BodyText"/>
      </w:pPr>
      <w:r>
        <w:t xml:space="preserve">ORCID: Michael E. Bustamante, 0009-0009-9001-8151; Gabriel Bustamante, 0009-0005-3269-024X</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It reads XTDB, the community’s XML successor format, including its third-generation models, an Einstein heat capacity valid to 0 K and a two-state liquid, shown by shipped Al-C and Pb-Sn databases computed in the browser. One zero-install page calculates across all four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and couples that gas to the condensed phases at a shared oxygen potential: to metals and oxides in the browser, reproducing Cantera’s multiphase equilibrium, and to the Modified Quasichemical slag itself at iron saturation, so the melt’s oxidation state tracks the furnace atmosphere. The same activity coupling gives the vapour a molten chloride flux fumes off, where complexing holds down the magnesium chloride.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FeO-SiO</w:t>
      </w:r>
      <w:r>
        <w:rPr>
          <w:vertAlign w:val="subscript"/>
        </w:rPr>
        <w:t xml:space="preserve">2</w:t>
      </w:r>
      <w:r>
        <w:t xml:space="preserve">, CaO-Al</w:t>
      </w:r>
      <w:r>
        <w:rPr>
          <w:vertAlign w:val="subscript"/>
        </w:rPr>
        <w:t xml:space="preserve">2</w:t>
      </w:r>
      <w:r>
        <w:t xml:space="preserve">O</w:t>
      </w:r>
      <w:r>
        <w:rPr>
          <w:vertAlign w:val="subscript"/>
        </w:rPr>
        <w:t xml:space="preserve">3</w:t>
      </w:r>
      <w:r>
        <w:t xml:space="preserve">, and 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liquids, the FeO-MgO-SiO</w:t>
      </w:r>
      <w:r>
        <w:rPr>
          <w:vertAlign w:val="subscript"/>
        </w:rPr>
        <w:t xml:space="preserve">2</w:t>
      </w:r>
      <w:r>
        <w:t xml:space="preserve"> </w:t>
      </w:r>
      <w:r>
        <w:t xml:space="preserve">and cement-and-slag CaO-Al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ternaries, and a CaO-FeO-MgO-SiO</w:t>
      </w:r>
      <w:r>
        <w:rPr>
          <w:vertAlign w:val="subscript"/>
        </w:rPr>
        <w:t xml:space="preserve">2</w:t>
      </w:r>
      <w:r>
        <w:t xml:space="preserve"> </w:t>
      </w:r>
      <w:r>
        <w:t xml:space="preserve">quaternary, with olivine, orthopyroxene, clinopyroxene, and spinel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2336" w:name="overview"/>
    <w:p>
      <w:pPr>
        <w:pStyle w:val="Heading2"/>
      </w:pPr>
      <w:r>
        <w:t xml:space="preserve">(1) Overview</w:t>
      </w:r>
    </w:p>
    <w:bookmarkStart w:id="2323"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any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The present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This engine reads all three: it parses XTDB directly, including the third-generation models the format was built to carry, an Einstein heat capacity valid to 0 K in place of the older polynomial and a two-state description of the liquid, so the XML successor is a dialect the calculator already reads rather than a future dependency.</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unified XML schema, MQMQA and third-generation models included; read by this engine</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2323"/>
    <w:bookmarkStart w:id="2333"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database dialects (ChemSage .dat, Thermo-Calc .tdb with the Inden magnetic model, and the unified .utdb) and calculates all thermodynamics; the same core is used as a native library, from Python through cffi, and compiled to WebAssembly behind the browser application. The browser build adds a reader for the XML XTDB successor and its third-generation (Einstein heat capacity, two-state liquid) models. dbbuild writes new ChemSage files from measured data, and every energy path is validated against pycalphad." title="" id="2325" name="Picture"/>
            <a:graphic>
              <a:graphicData uri="http://schemas.openxmlformats.org/drawingml/2006/picture">
                <pic:pic>
                  <pic:nvPicPr>
                    <pic:cNvPr descr="figures/fig1_architecture.png" id="2326" name="Picture"/>
                    <pic:cNvPicPr>
                      <a:picLocks noChangeArrowheads="1" noChangeAspect="1"/>
                    </pic:cNvPicPr>
                  </pic:nvPicPr>
                  <pic:blipFill>
                    <a:blip r:embed="rId2324"/>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database dialects (ChemSage .dat, Thermo-Calc .tdb with the Inden magnetic model, and the unified .utdb) and calculates all thermodynamics; the same core is used as a native library, from Python through cffi, and compiled to WebAssembly behind the browser application. The browser build adds a reader for the XML XTDB successor and its third-generation (Einstein heat capacity, two-state liquid) models.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eight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and optionally couples that gas to a steelmaking condensate (graphite, wustite, iron) so a reducing atmosphere pulls the oxide down to metal and an oxidising one holds it, calculated at a shared oxygen potential. A slag-gas readout closes the same loop for the solution melt: for the assessed FeO-SiO</w:t>
      </w:r>
      <w:r>
        <w:rPr>
          <w:vertAlign w:val="subscript"/>
        </w:rPr>
        <w:t xml:space="preserve">2</w:t>
      </w:r>
      <w:r>
        <w:t xml:space="preserve"> </w:t>
      </w:r>
      <w:r>
        <w:t xml:space="preserve">slag held at iron saturation it shows the FeO activity and the furnace CO</w:t>
      </w:r>
      <w:r>
        <w:rPr>
          <w:vertAlign w:val="subscript"/>
        </w:rPr>
        <w:t xml:space="preserve">2</w:t>
      </w:r>
      <w:r>
        <w:t xml:space="preserve">/CO ratio and oxygen pressure the melt equilibrates with, so adding silica lowers the activity and drives the equilibrium gas more reducing. The same readout switches with the loaded chemistry: for a molten chloride flux it shows the fume, each salt’s partial pressure taken as its engine activity times its measured pure-component vapour pressure, so that magnesium chloride, held in the melt by chlorocomplexing, contributes only a few percent of the vapour despite being a fifth of the flux.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about three seconds). Tapping a composition reads its stable phases and pins it to a comparison list; hovering previews on desktop." title="" id="2328" name="Picture"/>
            <a:graphic>
              <a:graphicData uri="http://schemas.openxmlformats.org/drawingml/2006/picture">
                <pic:pic>
                  <pic:nvPicPr>
                    <pic:cNvPr descr="figures/fig2_browser_app.png" id="2329" name="Picture"/>
                    <pic:cNvPicPr>
                      <a:picLocks noChangeArrowheads="1" noChangeAspect="1"/>
                    </pic:cNvPicPr>
                  </pic:nvPicPr>
                  <pic:blipFill>
                    <a:blip r:embed="rId2327"/>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about three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[24,25,26].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library also ships the calcium-aluminosilicate family that anchors cement and blast-furnace slag chemistry: the CaO-Al</w:t>
      </w:r>
      <w:r>
        <w:rPr>
          <w:vertAlign w:val="subscript"/>
        </w:rPr>
        <w:t xml:space="preserve">2</w:t>
      </w:r>
      <w:r>
        <w:t xml:space="preserve">O</w:t>
      </w:r>
      <w:r>
        <w:rPr>
          <w:vertAlign w:val="subscript"/>
        </w:rPr>
        <w:t xml:space="preserve">3</w:t>
      </w:r>
      <w:r>
        <w:t xml:space="preserve"> </w:t>
      </w:r>
      <w:r>
        <w:t xml:space="preserve">and 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binaries and the CaO-Al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ternary, the ternary carrying one fitted additional-constituent term that brings its predicted silica activities to within a root-mean-square 0.48 in ln a of forty-five Knudsen-effusion measurements [21,35]. A melt-mixing feasibility check on the aluminate edges with three foundation machine-learned potentials [28,29,32] found unanimous sign and a spread of about 7 kJ per mole of oxide on the strongly ordering CaO-Al</w:t>
      </w:r>
      <w:r>
        <w:rPr>
          <w:vertAlign w:val="subscript"/>
        </w:rPr>
        <w:t xml:space="preserve">2</w:t>
      </w:r>
      <w:r>
        <w:t xml:space="preserve">O</w:t>
      </w:r>
      <w:r>
        <w:rPr>
          <w:vertAlign w:val="subscript"/>
        </w:rPr>
        <w:t xml:space="preserve">3</w:t>
      </w:r>
      <w:r>
        <w:t xml:space="preserve"> </w:t>
      </w:r>
      <w:r>
        <w:t xml:space="preserve">edge, but a spread from near-ideal to strongly positive on 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the aluminosilicate excess is therefore held to the measured activities rather than to potential energies, the run recorded in the provenance. A CaO-FeO-MgO-SiO</w:t>
      </w:r>
      <w:r>
        <w:rPr>
          <w:vertAlign w:val="subscript"/>
        </w:rPr>
        <w:t xml:space="preserve">2</w:t>
      </w:r>
      <w:r>
        <w:t xml:space="preserve"> </w:t>
      </w:r>
      <w:r>
        <w:t xml:space="preserve">quaternary combines the four assessed silica binaries by the Muggianu extension, reducing to each exactly at its edge with the melt interior left as a stated prediction. Two further compound-energy solid solutions, clinopyroxene (diopside-hedenbergite) and spinel (spinel-hercynite), extend the crystallization fields; both ship with ideal mixing, the excess left unfitted where no open calorimetry constrains it and machine-learned potentials disagree even in sign, each such judgment recorded in the provenance.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[36], measured mixing calorimetry [37], and the measured eutectic, liquidus, and solvus record of the halide literature [38], and loadable in the browser application with one click. The nuclear community’s MSTDB-TC [39]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 title="" id="2331" name="Picture"/>
            <a:graphic>
              <a:graphicData uri="http://schemas.openxmlformats.org/drawingml/2006/picture">
                <pic:pic>
                  <pic:nvPicPr>
                    <pic:cNvPr descr="figures/fig3_ternary.png" id="2332" name="Picture"/>
                    <pic:cNvPicPr>
                      <a:picLocks noChangeArrowheads="1" noChangeAspect="1"/>
                    </pic:cNvPicPr>
                  </pic:nvPicPr>
                  <pic:blipFill>
                    <a:blip r:embed="rId2330"/>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K; calorimetry matched; stable two-liquid field about 340 K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kelvin</w:t>
            </w:r>
          </w:p>
        </w:tc>
      </w:tr>
      <w:tr>
        <w:trPr>
          <w:cantSplit/>
        </w:trPr>
        <w:tc>
          <w:tcPr/>
          <w:p>
            <w:pPr>
              <w:keepNext/>
              <w:pStyle w:val="Compact"/>
              <w:jc w:val="left"/>
            </w:pPr>
            <w:r>
              <w:t xml:space="preserve">FeO-MgO-SiO</w:t>
            </w:r>
            <w:r>
              <w:rPr>
                <w:vertAlign w:val="subscript"/>
              </w:rPr>
              <w:t xml:space="preserve">2</w:t>
            </w:r>
          </w:p>
        </w:tc>
        <w:tc>
          <w:tcPr/>
          <w:p>
            <w:pPr>
              <w:keepNext/>
              <w:pStyle w:val="Compact"/>
              <w:jc w:val="left"/>
            </w:pPr>
            <w:r>
              <w:t xml:space="preserve">binaries combined; no ternary term</w:t>
            </w:r>
          </w:p>
        </w:tc>
        <w:tc>
          <w:tcPr/>
          <w:p>
            <w:pPr>
              <w:keepNext/>
              <w:pStyle w:val="Compact"/>
              <w:jc w:val="left"/>
            </w:pPr>
            <w:r>
              <w:t xml:space="preserve">assembled from the binaries with olivine and orthopyroxene solutions [19,33]</w:t>
            </w:r>
          </w:p>
        </w:tc>
        <w:tc>
          <w:tcPr/>
          <w:p>
            <w:pPr>
              <w:keepNext/>
              <w:pStyle w:val="Compact"/>
              <w:jc w:val="left"/>
            </w:pPr>
            <w:r>
              <w:t xml:space="preserve">measured liquidus-surface topology [24]; stable phase sets match pycalphad at 15 of 16 points</w:t>
            </w:r>
          </w:p>
        </w:tc>
      </w:tr>
      <w:tr>
        <w:trPr>
          <w:cantSplit/>
        </w:trPr>
        <w:tc>
          <w:tcPr/>
          <w:p>
            <w:pPr>
              <w:keepNext/>
              <w:pStyle w:val="Compact"/>
              <w:jc w:val="left"/>
            </w:pPr>
            <w:r>
              <w:t xml:space="preserve">CaO-Al</w:t>
            </w:r>
            <w:r>
              <w:rPr>
                <w:vertAlign w:val="subscript"/>
              </w:rPr>
              <w:t xml:space="preserve">2</w:t>
            </w:r>
            <w:r>
              <w:t xml:space="preserve">O</w:t>
            </w:r>
            <w:r>
              <w:rPr>
                <w:vertAlign w:val="subscript"/>
              </w:rPr>
              <w:t xml:space="preserve">3</w:t>
            </w:r>
          </w:p>
        </w:tc>
        <w:tc>
          <w:tcPr/>
          <w:p>
            <w:pPr>
              <w:keepNext/>
              <w:pStyle w:val="Compact"/>
              <w:jc w:val="left"/>
            </w:pPr>
            <w:r>
              <w:t xml:space="preserve">(-156581 + 2.16 T) + 133468 χ</w:t>
            </w:r>
            <w:r>
              <w:rPr>
                <w:vertAlign w:val="subscript"/>
              </w:rPr>
              <w:t xml:space="preserve">Ca</w:t>
            </w:r>
          </w:p>
        </w:tc>
        <w:tc>
          <w:tcPr/>
          <w:p>
            <w:pPr>
              <w:keepNext/>
              <w:pStyle w:val="Compact"/>
              <w:jc w:val="left"/>
            </w:pPr>
            <w:r>
              <w:t xml:space="preserve">six melting invariants [40]</w:t>
            </w:r>
          </w:p>
        </w:tc>
        <w:tc>
          <w:tcPr/>
          <w:p>
            <w:pPr>
              <w:keepNext/>
              <w:pStyle w:val="Compact"/>
              <w:jc w:val="left"/>
            </w:pPr>
            <w:r>
              <w:t xml:space="preserve">invariants within about ±90 K (screening quality; liquid activities not yet constrained)</w:t>
            </w:r>
          </w:p>
        </w:tc>
      </w:tr>
      <w:tr>
        <w:trPr>
          <w:cantSplit/>
        </w:trPr>
        <w:tc>
          <w:tcPr/>
          <w:p>
            <w:pPr>
              <w:keepNext/>
              <w:pStyle w:val="Compact"/>
              <w:jc w:val="left"/>
            </w:pPr>
            <w:r>
              <w:t xml:space="preserve">Al</w:t>
            </w:r>
            <w:r>
              <w:rPr>
                <w:vertAlign w:val="subscript"/>
              </w:rPr>
              <w:t xml:space="preserve">2</w:t>
            </w:r>
            <w:r>
              <w:t xml:space="preserve">O</w:t>
            </w:r>
            <w:r>
              <w:rPr>
                <w:vertAlign w:val="subscript"/>
              </w:rPr>
              <w:t xml:space="preserve">3</w:t>
            </w:r>
            <w:r>
              <w:t xml:space="preserve">-SiO</w:t>
            </w:r>
            <w:r>
              <w:rPr>
                <w:vertAlign w:val="subscript"/>
              </w:rPr>
              <w:t xml:space="preserve">2</w:t>
            </w:r>
          </w:p>
        </w:tc>
        <w:tc>
          <w:tcPr/>
          <w:p>
            <w:pPr>
              <w:keepNext/>
              <w:pStyle w:val="Compact"/>
              <w:jc w:val="left"/>
            </w:pPr>
            <w:r>
              <w:t xml:space="preserve">9317 + 33855 χ</w:t>
            </w:r>
            <w:r>
              <w:rPr>
                <w:vertAlign w:val="subscript"/>
              </w:rPr>
              <w:t xml:space="preserve">Si</w:t>
            </w:r>
            <w:r>
              <w:rPr>
                <w:vertAlign w:val="superscript"/>
              </w:rPr>
              <w:t xml:space="preserve">5</w:t>
            </w:r>
          </w:p>
        </w:tc>
        <w:tc>
          <w:tcPr/>
          <w:p>
            <w:pPr>
              <w:keepNext/>
              <w:pStyle w:val="Compact"/>
              <w:jc w:val="left"/>
            </w:pPr>
            <w:r>
              <w:t xml:space="preserve">the cristobalite-mullite eutectic [40]</w:t>
            </w:r>
          </w:p>
        </w:tc>
        <w:tc>
          <w:tcPr/>
          <w:p>
            <w:pPr>
              <w:keepNext/>
              <w:pStyle w:val="Compact"/>
              <w:jc w:val="left"/>
            </w:pPr>
            <w:r>
              <w:t xml:space="preserve">eutectic reproduced (1883 K, x</w:t>
            </w:r>
            <w:r>
              <w:rPr>
                <w:vertAlign w:val="subscript"/>
              </w:rPr>
              <w:t xml:space="preserve">AlO1.5</w:t>
            </w:r>
            <w:r>
              <w:t xml:space="preserve"> </w:t>
            </w:r>
            <w:r>
              <w:t xml:space="preserve">= 0.150); the alumina-rich mullite liquidus is the weak flank</w:t>
            </w:r>
          </w:p>
        </w:tc>
      </w:tr>
      <w:tr>
        <w:trPr>
          <w:cantSplit/>
        </w:trPr>
        <w:tc>
          <w:tcPr/>
          <w:p>
            <w:pPr>
              <w:keepNext/>
              <w:pStyle w:val="Compact"/>
              <w:jc w:val="left"/>
            </w:pPr>
            <w:r>
              <w:t xml:space="preserve">CaO-Al</w:t>
            </w:r>
            <w:r>
              <w:rPr>
                <w:vertAlign w:val="subscript"/>
              </w:rPr>
              <w:t xml:space="preserve">2</w:t>
            </w:r>
            <w:r>
              <w:t xml:space="preserve">O</w:t>
            </w:r>
            <w:r>
              <w:rPr>
                <w:vertAlign w:val="subscript"/>
              </w:rPr>
              <w:t xml:space="preserve">3</w:t>
            </w:r>
            <w:r>
              <w:t xml:space="preserve">-SiO</w:t>
            </w:r>
            <w:r>
              <w:rPr>
                <w:vertAlign w:val="subscript"/>
              </w:rPr>
              <w:t xml:space="preserve">2</w:t>
            </w:r>
          </w:p>
        </w:tc>
        <w:tc>
          <w:tcPr/>
          <w:p>
            <w:pPr>
              <w:keepNext/>
              <w:pStyle w:val="Compact"/>
              <w:jc w:val="left"/>
            </w:pPr>
            <w:r>
              <w:t xml:space="preserve">binaries combined, plus one ternary term (AlO</w:t>
            </w:r>
            <w:r>
              <w:rPr>
                <w:vertAlign w:val="subscript"/>
              </w:rPr>
              <w:t xml:space="preserve">1.5</w:t>
            </w:r>
            <w:r>
              <w:t xml:space="preserve"> </w:t>
            </w:r>
            <w:r>
              <w:t xml:space="preserve">into the CaO-SiO</w:t>
            </w:r>
            <w:r>
              <w:rPr>
                <w:vertAlign w:val="subscript"/>
              </w:rPr>
              <w:t xml:space="preserve">2</w:t>
            </w:r>
            <w:r>
              <w:t xml:space="preserve"> </w:t>
            </w:r>
            <w:r>
              <w:t xml:space="preserve">quadruplet, L = -110000)</w:t>
            </w:r>
          </w:p>
        </w:tc>
        <w:tc>
          <w:tcPr/>
          <w:p>
            <w:pPr>
              <w:keepNext/>
              <w:pStyle w:val="Compact"/>
              <w:jc w:val="left"/>
            </w:pPr>
            <w:r>
              <w:t xml:space="preserve">45 KEMS silica activities [21,35]</w:t>
            </w:r>
          </w:p>
        </w:tc>
        <w:tc>
          <w:tcPr/>
          <w:p>
            <w:pPr>
              <w:keepNext/>
              <w:pStyle w:val="Compact"/>
              <w:jc w:val="left"/>
            </w:pPr>
            <w:r>
              <w:t xml:space="preserve">RMS ln a 0.48 (basic corner) and 0.46 (silica-rich); ternary liquidus not yet mapped</w:t>
            </w:r>
          </w:p>
        </w:tc>
      </w:tr>
      <w:tr>
        <w:trPr>
          <w:cantSplit/>
        </w:trPr>
        <w:tc>
          <w:tcPr/>
          <w:p>
            <w:pPr>
              <w:pStyle w:val="Compact"/>
              <w:jc w:val="left"/>
            </w:pPr>
            <w:r>
              <w:t xml:space="preserve">CaO-FeO-MgO-SiO</w:t>
            </w:r>
            <w:r>
              <w:rPr>
                <w:vertAlign w:val="subscript"/>
              </w:rPr>
              <w:t xml:space="preserve">2</w:t>
            </w:r>
          </w:p>
        </w:tc>
        <w:tc>
          <w:tcPr/>
          <w:p>
            <w:pPr>
              <w:pStyle w:val="Compact"/>
              <w:jc w:val="left"/>
            </w:pPr>
            <w:r>
              <w:t xml:space="preserve">four silica binaries combined; basic edges ideal; no quaternary term</w:t>
            </w:r>
          </w:p>
        </w:tc>
        <w:tc>
          <w:tcPr/>
          <w:p>
            <w:pPr>
              <w:pStyle w:val="Compact"/>
              <w:jc w:val="left"/>
            </w:pPr>
            <w:r>
              <w:t xml:space="preserve">assembled by the Muggianu extension</w:t>
            </w:r>
          </w:p>
        </w:tc>
        <w:tc>
          <w:tcPr/>
          <w:p>
            <w:pPr>
              <w:pStyle w:val="Compact"/>
              <w:jc w:val="left"/>
            </w:pPr>
            <w:r>
              <w:t xml:space="preserve">reduces to each binary exactly at its edge; the melt interior is a prediction, and the ideal basic edges a documented next step</w:t>
            </w:r>
          </w:p>
        </w:tc>
      </w:tr>
    </w:tbl>
    <w:bookmarkEnd w:id="2333"/>
    <w:bookmarkStart w:id="2334"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Because a liquidus is set by the Gibbs energy of the liquid minus that of the coexisting solid, every boundary-setting phase carries its own assessed description here, the terminal oxides and intermediate compounds from the evaluated tables and solution calorimetry and the olivine and orthopyroxene solutions from calorimetric mixing parameters, rather than being frozen as pure elements; the liquid excess is fitted against those real solid descriptions, so it is not left to absorb a missing solid contribution, and the fitted interaction stays physically transferable.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2334"/>
    <w:bookmarkStart w:id="2335"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142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[41];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keepNext/>
              <w:pStyle w:val="Compact"/>
              <w:jc w:val="left"/>
            </w:pPr>
            <w:r>
              <w:t xml:space="preserve">Gas phase</w:t>
            </w:r>
          </w:p>
        </w:tc>
        <w:tc>
          <w:tcPr/>
          <w:p>
            <w:pPr>
              <w:keepNext/>
              <w:pStyle w:val="Compact"/>
              <w:jc w:val="left"/>
            </w:pPr>
            <w:r>
              <w:t xml:space="preserve">NASA-polynomial ideal-gas equilibria (Python and C core); Peng-Robinson real gas</w:t>
            </w:r>
          </w:p>
        </w:tc>
        <w:tc>
          <w:tcPr/>
          <w:p>
            <w:pPr>
              <w:keepNext/>
              <w:pStyle w:val="Compact"/>
              <w:jc w:val="left"/>
            </w:pPr>
            <w:r>
              <w:t xml:space="preserve">Cantera [42]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r>
        <w:trPr>
          <w:cantSplit/>
        </w:trPr>
        <w:tc>
          <w:tcPr/>
          <w:p>
            <w:pPr>
              <w:keepNext/>
              <w:pStyle w:val="Compact"/>
              <w:jc w:val="left"/>
            </w:pPr>
            <w:r>
              <w:t xml:space="preserve">Gas-condensed coupling</w:t>
            </w:r>
          </w:p>
        </w:tc>
        <w:tc>
          <w:tcPr/>
          <w:p>
            <w:pPr>
              <w:keepNext/>
              <w:pStyle w:val="Compact"/>
              <w:jc w:val="left"/>
            </w:pPr>
            <w:r>
              <w:t xml:space="preserve">shared-element-potential solve, gas + stoichiometric metals/oxides (Boudouard, FeO reduction)</w:t>
            </w:r>
          </w:p>
        </w:tc>
        <w:tc>
          <w:tcPr/>
          <w:p>
            <w:pPr>
              <w:keepNext/>
              <w:pStyle w:val="Compact"/>
              <w:jc w:val="left"/>
            </w:pPr>
            <w:r>
              <w:t xml:space="preserve">Cantera multiphase parity to 10</w:t>
            </w:r>
            <w:r>
              <w:rPr>
                <w:vertAlign w:val="superscript"/>
              </w:rPr>
              <w:t xml:space="preserve">-3</w:t>
            </w:r>
            <w:r>
              <w:t xml:space="preserve"> </w:t>
            </w:r>
            <w:r>
              <w:t xml:space="preserve">mole fraction, to 10</w:t>
            </w:r>
            <w:r>
              <w:rPr>
                <w:vertAlign w:val="superscript"/>
              </w:rPr>
              <w:t xml:space="preserve">-10</w:t>
            </w:r>
            <w:r>
              <w:t xml:space="preserve"> </w:t>
            </w:r>
            <w:r>
              <w:t xml:space="preserve">on shared thermodynamic data</w:t>
            </w:r>
          </w:p>
        </w:tc>
      </w:tr>
      <w:tr>
        <w:trPr>
          <w:cantSplit/>
        </w:trPr>
        <w:tc>
          <w:tcPr/>
          <w:p>
            <w:pPr>
              <w:keepNext/>
              <w:pStyle w:val="Compact"/>
              <w:jc w:val="left"/>
            </w:pPr>
            <w:r>
              <w:t xml:space="preserve">Gas-slag coupling (iron-saturated)</w:t>
            </w:r>
          </w:p>
        </w:tc>
        <w:tc>
          <w:tcPr/>
          <w:p>
            <w:pPr>
              <w:keepNext/>
              <w:pStyle w:val="Compact"/>
              <w:jc w:val="left"/>
            </w:pPr>
            <w:r>
              <w:t xml:space="preserve">gas + MQMQA slag through the FeO activity; equilibrium CO</w:t>
            </w:r>
            <w:r>
              <w:rPr>
                <w:vertAlign w:val="subscript"/>
              </w:rPr>
              <w:t xml:space="preserve">2</w:t>
            </w:r>
            <w:r>
              <w:t xml:space="preserve">/CO vs slag composition</w:t>
            </w:r>
          </w:p>
        </w:tc>
        <w:tc>
          <w:tcPr/>
          <w:p>
            <w:pPr>
              <w:keepNext/>
              <w:pStyle w:val="Compact"/>
              <w:jc w:val="left"/>
            </w:pPr>
            <w:r>
              <w:t xml:space="preserve">pure-FeO limit within 1% of the Cantera Fe/FeO buffer; slag activity matches the fitted iron-saturated data</w:t>
            </w:r>
          </w:p>
        </w:tc>
      </w:tr>
      <w:tr>
        <w:trPr>
          <w:cantSplit/>
        </w:trPr>
        <w:tc>
          <w:tcPr/>
          <w:p>
            <w:pPr>
              <w:pStyle w:val="Compact"/>
              <w:jc w:val="left"/>
            </w:pPr>
            <w:r>
              <w:t xml:space="preserve">Gas-flux coupling (chloride fume)</w:t>
            </w:r>
          </w:p>
        </w:tc>
        <w:tc>
          <w:tcPr/>
          <w:p>
            <w:pPr>
              <w:pStyle w:val="Compact"/>
              <w:jc w:val="left"/>
            </w:pPr>
            <w:r>
              <w:t xml:space="preserve">gas + MQMQA salt through component activities; fume partial pressures p</w:t>
            </w:r>
            <w:r>
              <w:rPr>
                <w:vertAlign w:val="subscript"/>
              </w:rPr>
              <w:t xml:space="preserve">i</w:t>
            </w:r>
            <w:r>
              <w:t xml:space="preserve"> </w:t>
            </w:r>
            <w:r>
              <w:t xml:space="preserve">= a</w:t>
            </w:r>
            <w:r>
              <w:rPr>
                <w:vertAlign w:val="subscript"/>
              </w:rPr>
              <w:t xml:space="preserve">i</w:t>
            </w:r>
            <w:r>
              <w:t xml:space="preserve"> </w:t>
            </w:r>
            <w:r>
              <w:t xml:space="preserve">p</w:t>
            </w:r>
            <w:r>
              <w:rPr>
                <w:vertAlign w:val="subscript"/>
              </w:rPr>
              <w:t xml:space="preserve">i</w:t>
            </w:r>
            <w:r>
              <w:rPr>
                <w:vertAlign w:val="superscript"/>
              </w:rPr>
              <w:t xml:space="preserve">o</w:t>
            </w:r>
            <w:r>
              <w:t xml:space="preserve"> </w:t>
            </w:r>
            <w:r>
              <w:t xml:space="preserve">vs temperature</w:t>
            </w:r>
          </w:p>
        </w:tc>
        <w:tc>
          <w:tcPr/>
          <w:p>
            <w:pPr>
              <w:pStyle w:val="Compact"/>
              <w:jc w:val="left"/>
            </w:pPr>
            <w:r>
              <w:t xml:space="preserve">pure limit gives unit activity to five figures; NaCl-KCl binary reproduces the measured near-ideal negative deviation; pure-component vapour pressures reproduce the measured boiling points</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kelvin of measurement, assessed MgO-SiO</w:t>
      </w:r>
      <w:r>
        <w:rPr>
          <w:vertAlign w:val="subscript"/>
        </w:rPr>
        <w:t xml:space="preserve">2</w:t>
      </w:r>
      <w:r>
        <w:t xml:space="preserve"> </w:t>
      </w:r>
      <w:r>
        <w:t xml:space="preserve">invariants sit within about 40 K, and the ternary liquidus projection reproduces the measured field topology [24]. Development practice is plain: the repository is version controlled with tagged releases (v0.1.0 through the v0.6.0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2335"/>
    <w:bookmarkEnd w:id="2336"/>
    <w:bookmarkStart w:id="2344" w:name="availability"/>
    <w:p>
      <w:pPr>
        <w:pStyle w:val="Heading2"/>
      </w:pPr>
      <w:r>
        <w:t xml:space="preserve">(2) Availability</w:t>
      </w:r>
    </w:p>
    <w:bookmarkStart w:id="2337"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2337"/>
    <w:bookmarkStart w:id="2338"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2338"/>
    <w:bookmarkStart w:id="2339"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2339"/>
    <w:bookmarkStart w:id="2340"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2340"/>
    <w:bookmarkStart w:id="2341" w:name="list-of-contributors"/>
    <w:p>
      <w:pPr>
        <w:pStyle w:val="Heading3"/>
      </w:pPr>
      <w:r>
        <w:t xml:space="preserve">List of contributors</w:t>
      </w:r>
    </w:p>
    <w:p>
      <w:pPr>
        <w:pStyle w:val="FirstParagraph"/>
      </w:pPr>
      <w:r>
        <w:t xml:space="preserve">Michael E. Bustamante (design, implementation, validation, data curation, writing - original draft). Gabriel Bustamante (software, software validation, writing - review and editing).</w:t>
      </w:r>
    </w:p>
    <w:bookmarkEnd w:id="2341"/>
    <w:bookmarkStart w:id="2342"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https://github.com/odinzen/hephaestus-mqmqa-public/releases/tag/v0.6.0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v0.6.0</w:t>
      </w:r>
    </w:p>
    <w:p>
      <w:pPr>
        <w:pStyle w:val="Compact"/>
        <w:numPr>
          <w:ilvl w:val="0"/>
          <w:numId w:val="1001"/>
        </w:numPr>
      </w:pPr>
      <w:r>
        <w:t xml:space="preserve">Date published: 2026-09-09</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2026-09-09</w:t>
      </w:r>
    </w:p>
    <w:bookmarkEnd w:id="2342"/>
    <w:bookmarkStart w:id="2343" w:name="language"/>
    <w:p>
      <w:pPr>
        <w:pStyle w:val="Heading3"/>
      </w:pPr>
      <w:r>
        <w:t xml:space="preserve">Language</w:t>
      </w:r>
    </w:p>
    <w:p>
      <w:pPr>
        <w:pStyle w:val="FirstParagraph"/>
      </w:pPr>
      <w:r>
        <w:t xml:space="preserve">English.</w:t>
      </w:r>
    </w:p>
    <w:bookmarkEnd w:id="2343"/>
    <w:bookmarkEnd w:id="2344"/>
    <w:bookmarkStart w:id="2367"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The same core also exposes a thermodynamic application interface shaped like OpenCalphad’s OCASI (the de-facto embedding standard, descended from Thermo-Calc’s TQ), written clean-room from its documented semantics, so software built to drive OpenCalphad can bind this engine instead and run where the GPL Fortran reference cannot, in the browser and inside permissively or closed-licensed products; the interface is checked against pycalphad in the suite.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2366"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2346" name="Picture"/>
            <a:graphic>
              <a:graphicData uri="http://schemas.openxmlformats.org/drawingml/2006/picture">
                <pic:pic>
                  <pic:nvPicPr>
                    <pic:cNvPr descr="figures/fig4_salt_example.png" id="2347" name="Picture"/>
                    <pic:cNvPicPr>
                      <a:picLocks noChangeArrowheads="1" noChangeAspect="1"/>
                    </pic:cNvPicPr>
                  </pic:nvPicPr>
                  <pic:blipFill>
                    <a:blip r:embed="rId2345"/>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[41] (Figure 5). The shipped AlZn.tdb is itself an openly licensed transcription of that published assessment on the Scientific Group Thermodata Europe (SGTE) unary functions [43],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2349" name="Picture"/>
            <a:graphic>
              <a:graphicData uri="http://schemas.openxmlformats.org/drawingml/2006/picture">
                <pic:pic>
                  <pic:nvPicPr>
                    <pic:cNvPr descr="figures/fig5_alloy_example.png" id="2350" name="Picture"/>
                    <pic:cNvPicPr>
                      <a:picLocks noChangeArrowheads="1" noChangeAspect="1"/>
                    </pic:cNvPicPr>
                  </pic:nvPicPr>
                  <pic:blipFill>
                    <a:blip r:embed="rId2348"/>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on the parameters is demonstrated below. A first reach into the combustion school is already in the library. The engine reads NASA 7-coefficient polynomial thermochemistry, the open format of NASA CEA [44] and GRI-Mech [45], and solves ideal-gas equilibrium at fixed temperature and pressure by the element-potential method, validated against Cantera [42]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The gas is coupled to the condensed phases in one equilibrium, the step that carries pyrometallurgical oxygen potentials: a shared set of element potentials holds the ideal gas and the pure condensed species (metals, oxides, graphite) at a common oxygen potential, and the stable phase assemblage is the set of lowest total Gibbs energy, so the furnace atmosphere and the condensate settle together rather than apart. The solver reproduces Cantera’s own multiphase equilibrium on the reactions that carry those potentials, the Boudouard balance C(gr) + CO</w:t>
      </w:r>
      <w:r>
        <w:rPr>
          <w:vertAlign w:val="subscript"/>
        </w:rPr>
        <w:t xml:space="preserve">2</w:t>
      </w:r>
      <w:r>
        <w:t xml:space="preserve"> </w:t>
      </w:r>
      <w:r>
        <w:t xml:space="preserve">= 2 CO and iron-oxide reduction FeO + CO = Fe + CO</w:t>
      </w:r>
      <w:r>
        <w:rPr>
          <w:vertAlign w:val="subscript"/>
        </w:rPr>
        <w:t xml:space="preserve">2</w:t>
      </w:r>
      <w:r>
        <w:t xml:space="preserve">, to about 10</w:t>
      </w:r>
      <w:r>
        <w:rPr>
          <w:vertAlign w:val="superscript"/>
        </w:rPr>
        <w:t xml:space="preserve">-3</w:t>
      </w:r>
      <w:r>
        <w:t xml:space="preserve"> </w:t>
      </w:r>
      <w:r>
        <w:t xml:space="preserve">mole fraction, and to 10</w:t>
      </w:r>
      <w:r>
        <w:rPr>
          <w:vertAlign w:val="superscript"/>
        </w:rPr>
        <w:t xml:space="preserve">-10</w:t>
      </w:r>
      <w:r>
        <w:t xml:space="preserve"> </w:t>
      </w:r>
      <w:r>
        <w:t xml:space="preserve">where the two are given identical thermodynamic data so that only the coupling is under test. That condensate is the set of stoichiometric metals and oxides; the same shared oxygen potential also couples the gas to the Modified Quasichemical slag itself. At iron saturation the melt, metallic iron and the gas meet at one oxygen potential, and the slag enters through its FeO activity (a quantity the engine already evaluates, validated against the iron-saturated activity measurements the database was fitted to), so a more silica-rich melt, with its lower FeO activity, sits under a more reducing gas, exactly as slag-gas equilibration measurements show. The pure-FeO limit recovers the Fe/FeO buffer to within a percent of Cantera’s own multiphase equilibrium. The uTDB grammar already defines the ideal-gas phase, so a single file carries an alloy, a slag, its solids, and a gas for one coupled calculation.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The furnace atmosphere over that bath is calculable on the same page, and Figure 7 works it through with the gas calculator: the CO to CO</w:t>
      </w:r>
      <w:r>
        <w:rPr>
          <w:vertAlign w:val="subscript"/>
        </w:rPr>
        <w:t xml:space="preserve">2</w:t>
      </w:r>
      <w:r>
        <w:t xml:space="preserve"> </w:t>
      </w:r>
      <w:r>
        <w:t xml:space="preserve">ratio of a carbon-oxygen gas fixes the oxygen partial pressure that decides whether carbon is removed from the steel or iron is oxidized into the slag, both at the 1873 K tap temperature and across the steelmaking range, with the gas engine reproducing Cantera throughout. The salt side of the same coupling is the fume over a molten chloride flux (Figure 8): each salt evaporates at its engine activity times its measured pure-component vapour pressure, so magnesium chloride, a fifth of the NaCl-KCl-MgCl2 flux, is only a few percent of the fume, because chlorocomplexing holds its activity far below its mole fraction. The engine’s validated activities are what separate that fume from a Raoultian estimate. The same engine also carries parameter uncertainty to the diagram. Refitting the Al-Zn liquid and face-centred-cubic excess parameters against the measured liquid enthalpy of mixing and the assessed phase boundaries [41,46,47] by Markov-chain Monte Carlo, and propagating the posterior through the browser calculation, produces the confidence band of Figure 9. Three excess coefficients were sampled, the liquid enthalpy and its temperature term and the face-centred-cubic enthalpy, by an ensemble of eighteen walkers over 1500 steps under ESPEI’s default equal dataset weighting, discarding the first half as burn-in; the walker-mean chains are stationary and well mixed (Gelman-Rubin R-hat at most 1.04), the effective sample size is of order 400, and no pair of parameters correlates above about 0.65. Because only these three excess terms are varied while the SGTE unary functions and the phases not being refitted are held at their assessed values, the band is the parametric posterior within the adopted model, not a total thermodynamic uncertainty. Read that way it is still informative: the liquidus band is narrow because the calorimetry pins the liquid interaction, while the solid-solubility band is wider because only the phase diagram constrains the corresponding parameter, an honest reflection of which measurements do the work. Relative to the XML road of XTDB [15] (Table 1), uTDB is the on-ramp from the installed base, extending files as they are and running in this engine today. The successor is not left to the future: the engine reads XTDB directly, and with it the third-generation models the format standardises. In place of the polynomial heat capacity of the classic databases, the third-generation description uses an Einstein term valid to 0 K, G</w:t>
      </w:r>
      <w:r>
        <w:rPr>
          <w:vertAlign w:val="subscript"/>
        </w:rPr>
        <w:t xml:space="preserve">E</w:t>
      </w:r>
      <w:r>
        <w:t xml:space="preserve">(θ) = 1.5 R θ + 3 R T ln(1 - exp(-θ/T)) for one vibrational mode, with the composition-dependent Einstein temperature carried by the format’s LNTH parameter and weighted by the atom count of the formula unit so a compound recovers its full 3R-per-atom heat capacity; the liquid adds the two-state contribution -R T ln(1 + exp(-ΔG</w:t>
      </w:r>
      <w:r>
        <w:rPr>
          <w:vertAlign w:val="subscript"/>
        </w:rPr>
        <w:t xml:space="preserve">d</w:t>
      </w:r>
      <w:r>
        <w:t xml:space="preserve">/RT)) [48]. The engine assembles these energies and computes the binary phase diagram in the browser by the same lower-convex-hull common-tangent construction used for the alloy joins (Figure 10). Two databases ship as worked examples: the third-generation Al-C assessment of He et al. [49], which reproduces the aluminium melting point at 933.47 K and the Al</w:t>
      </w:r>
      <w:r>
        <w:rPr>
          <w:vertAlign w:val="subscript"/>
        </w:rPr>
        <w:t xml:space="preserve">4</w:t>
      </w:r>
      <w:r>
        <w:t xml:space="preserve">C</w:t>
      </w:r>
      <w:r>
        <w:rPr>
          <w:vertAlign w:val="subscript"/>
        </w:rPr>
        <w:t xml:space="preserve">3</w:t>
      </w:r>
      <w:r>
        <w:t xml:space="preserve"> </w:t>
      </w:r>
      <w:r>
        <w:t xml:space="preserve">peritectic near 2429 K, and a classic Pb-Sn assessment [50] carried through the same reader, giving the eutectic at 456 K and x(Sn) = 0.74. The reader is validated against an independent evaluator to below 10</w:t>
      </w:r>
      <w:r>
        <w:rPr>
          <w:vertAlign w:val="superscript"/>
        </w:rPr>
        <w:t xml:space="preserve">-6</w:t>
      </w:r>
      <w:r>
        <w:t xml:space="preserve"> </w:t>
      </w:r>
      <w:r>
        <w:t xml:space="preserve">J per mole of atoms across the Einstein, two-state, and excess terms.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2352" name="Picture"/>
            <a:graphic>
              <a:graphicData uri="http://schemas.openxmlformats.org/drawingml/2006/picture">
                <pic:pic>
                  <pic:nvPicPr>
                    <pic:cNvPr descr="figures/fig6_utdb_steel.png" id="2353" name="Picture"/>
                    <pic:cNvPicPr>
                      <a:picLocks noChangeArrowheads="1" noChangeAspect="1"/>
                    </pic:cNvPicPr>
                  </pic:nvPicPr>
                  <pic:blipFill>
                    <a:blip r:embed="rId2351"/>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CaptionedFigure"/>
      </w:pPr>
      <w:r>
        <w:drawing>
          <wp:inline>
            <wp:extent cx="5334000" cy="2319130"/>
            <wp:effectExtent b="0" l="0" r="0" t="0"/>
            <wp:docPr descr="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2 ratio at the 1873 K tap temperature: a lower ratio is more oxidizing and drives iron into the slag as FeO, a higher ratio is more reducing and decarburizes the steel. (b) The same oxygen potential against temperature for four fixed CO to CO2 buffers, showing that a given gas grows more oxidizing as it heats; the dashed line marks the tap temperature. Open circles are Cantera, agreeing to about 10-5 mole fraction across the field." title="" id="2355" name="Picture"/>
            <a:graphic>
              <a:graphicData uri="http://schemas.openxmlformats.org/drawingml/2006/picture">
                <pic:pic>
                  <pic:nvPicPr>
                    <pic:cNvPr descr="figures/fig7_gas_steel.png" id="2356" name="Picture"/>
                    <pic:cNvPicPr>
                      <a:picLocks noChangeArrowheads="1" noChangeAspect="1"/>
                    </pic:cNvPicPr>
                  </pic:nvPicPr>
                  <pic:blipFill>
                    <a:blip r:embed="rId2354"/>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w:t>
      </w:r>
      <w:r>
        <w:rPr>
          <w:vertAlign w:val="subscript"/>
        </w:rPr>
        <w:t xml:space="preserve">2</w:t>
      </w:r>
      <w:r>
        <w:t xml:space="preserve"> </w:t>
      </w:r>
      <w:r>
        <w:t xml:space="preserve">ratio at the 1873 K tap temperature: a lower ratio is more oxidizing and drives iron into the slag as FeO, a higher ratio is more reducing and decarburizes the steel. (b) The same oxygen potential against temperature for four fixed CO to CO</w:t>
      </w:r>
      <w:r>
        <w:rPr>
          <w:vertAlign w:val="subscript"/>
        </w:rPr>
        <w:t xml:space="preserve">2</w:t>
      </w:r>
      <w:r>
        <w:t xml:space="preserve"> </w:t>
      </w:r>
      <w:r>
        <w:t xml:space="preserve">buffers, showing that a given gas grows more oxidizing as it heats; the dashed line marks the tap temperature. Open circles are Cantera, agreeing to about 10</w:t>
      </w:r>
      <w:r>
        <w:rPr>
          <w:vertAlign w:val="superscript"/>
        </w:rPr>
        <w:t xml:space="preserve">-5</w:t>
      </w:r>
      <w:r>
        <w:t xml:space="preserve"> </w:t>
      </w:r>
      <w:r>
        <w:t xml:space="preserve">mole fraction across the field.</w:t>
      </w:r>
    </w:p>
    <w:p>
      <w:pPr>
        <w:pStyle w:val="CaptionedFigure"/>
      </w:pPr>
      <w:r>
        <w:drawing>
          <wp:inline>
            <wp:extent cx="5334000" cy="2319130"/>
            <wp:effectExtent b="0" l="0" r="0" t="0"/>
            <wp:docPr descr="Figure 8: The gas-flux coupling as a molten-salt worked example, the fume over a NaCl-KCl-MgCl2 = 40/40/20 mol% flux. Each salt’s partial pressure is its engine activity times its measured pure-component vapour pressure (NaCl and KCl from NIST Antoine fits, MgCl2 from the NIST-JANAF gas and liquid Gibbs of formation, each reproducing its measured boiling point; activities from the engine, validated against the pure-composition limit and the near-ideal NaCl-KCl binary). (a) Fume partial pressures against temperature, with the total. (b) Flux composition against fume composition at 1200 K: magnesium chloride is a fifth of the flux but a few percent of the fume, held in the melt by chlorocomplexing that drops its activity well below its mole fraction." title="" id="2358" name="Picture"/>
            <a:graphic>
              <a:graphicData uri="http://schemas.openxmlformats.org/drawingml/2006/picture">
                <pic:pic>
                  <pic:nvPicPr>
                    <pic:cNvPr descr="figures/fig8_gas_flux.png" id="2359" name="Picture"/>
                    <pic:cNvPicPr>
                      <a:picLocks noChangeArrowheads="1" noChangeAspect="1"/>
                    </pic:cNvPicPr>
                  </pic:nvPicPr>
                  <pic:blipFill>
                    <a:blip r:embed="rId2357"/>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8: The gas-flux coupling as a molten-salt worked example, the fume over a NaCl-KCl-MgCl</w:t>
      </w:r>
      <w:r>
        <w:rPr>
          <w:vertAlign w:val="subscript"/>
        </w:rPr>
        <w:t xml:space="preserve">2</w:t>
      </w:r>
      <w:r>
        <w:t xml:space="preserve"> </w:t>
      </w:r>
      <w:r>
        <w:t xml:space="preserve">= 40/40/20 mol% flux. Each salt’s partial pressure is its engine activity times its measured pure-component vapour pressure (NaCl and KCl from NIST Antoine fits, MgCl</w:t>
      </w:r>
      <w:r>
        <w:rPr>
          <w:vertAlign w:val="subscript"/>
        </w:rPr>
        <w:t xml:space="preserve">2</w:t>
      </w:r>
      <w:r>
        <w:t xml:space="preserve"> </w:t>
      </w:r>
      <w:r>
        <w:t xml:space="preserve">from the NIST-JANAF gas and liquid Gibbs of formation, each reproducing its measured boiling point; activities from the engine, validated against the pure-composition limit and the near-ideal NaCl-KCl binary). (a) Fume partial pressures against temperature, with the total. (b) Flux composition against fume composition at 1200 K: magnesium chloride is a fifth of the flux but a few percent of the fume, held in the melt by chlorocomplexing that drops its activity well below its mole fraction.</w:t>
      </w:r>
    </w:p>
    <w:p>
      <w:pPr>
        <w:pStyle w:val="CaptionedFigure"/>
      </w:pPr>
      <w:r>
        <w:drawing>
          <wp:inline>
            <wp:extent cx="4572000" cy="3556000"/>
            <wp:effectExtent b="0" l="0" r="0" t="0"/>
            <wp:docPr descr="Figure 9: Al-Zn phase diagram with ESPEI parameter uncertainty. The liquid and face-centred-cubic (fcc) excess parameters were refit by Markov-chain Monte Carlo to the measured liquid enthalpy of mixing (Debski et al., digitized from Dinsdale et al. [46]) and the assessed phase boundaries (Massalski [47]; Mey [41]),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7] (x(Zn) = 0.887, 654 K)." title="" id="2361" name="Picture"/>
            <a:graphic>
              <a:graphicData uri="http://schemas.openxmlformats.org/drawingml/2006/picture">
                <pic:pic>
                  <pic:nvPicPr>
                    <pic:cNvPr descr="figures/fig9_uq_alzn.png" id="2362" name="Picture"/>
                    <pic:cNvPicPr>
                      <a:picLocks noChangeArrowheads="1" noChangeAspect="1"/>
                    </pic:cNvPicPr>
                  </pic:nvPicPr>
                  <pic:blipFill>
                    <a:blip r:embed="rId2360"/>
                    <a:stretch>
                      <a:fillRect/>
                    </a:stretch>
                  </pic:blipFill>
                  <pic:spPr bwMode="auto">
                    <a:xfrm>
                      <a:off x="0" y="0"/>
                      <a:ext cx="4572000" cy="3556000"/>
                    </a:xfrm>
                    <a:prstGeom prst="rect">
                      <a:avLst/>
                    </a:prstGeom>
                    <a:noFill/>
                    <a:ln w="9525">
                      <a:noFill/>
                      <a:headEnd/>
                      <a:tailEnd/>
                    </a:ln>
                  </pic:spPr>
                </pic:pic>
              </a:graphicData>
            </a:graphic>
          </wp:inline>
        </w:drawing>
      </w:r>
    </w:p>
    <w:p>
      <w:pPr>
        <w:pStyle w:val="ImageCaption"/>
      </w:pPr>
      <w:r>
        <w:t xml:space="preserve">Figure 9: Al-Zn phase diagram with ESPEI parameter uncertainty. The liquid and face-centred-cubic (fcc) excess parameters were refit by Markov-chain Monte Carlo to the measured liquid enthalpy of mixing (Debski et al., digitized from Dinsdale et al. [46]) and the assessed phase boundaries (Massalski [47]; Mey [41]),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[47] (x(Zn) = 0.887, 654 K).</w:t>
      </w:r>
    </w:p>
    <w:p>
      <w:pPr>
        <w:pStyle w:val="CaptionedFigure"/>
      </w:pPr>
      <w:r>
        <w:drawing>
          <wp:inline>
            <wp:extent cx="5334000" cy="2383276"/>
            <wp:effectExtent b="0" l="0" r="0" t="0"/>
            <wp:docPr descr="Figure 10: Third-generation XTDB databases computed in the browser by the same lower-convex-hull construction as the alloy joins. (a) Al-C from the third-generation assessment of He et al. [49], with the Einstein heat capacity and two-state liquid: the aluminium-rich liquid, the Al4C3 line compound at x(C) = 3/7, and graphite, reproducing the 933.47 K melting point and the Al4C3 peritectic near 2429 K. (b) Pb-Sn, a classic assessment [50] transcribed into XTDB and read by the same engine, giving the eutectic at 456 K and x(Sn) = 0.74. Two-phase fields are shaded; single-phase fields are left white. Temperatures in kelvin." title="" id="2364" name="Picture"/>
            <a:graphic>
              <a:graphicData uri="http://schemas.openxmlformats.org/drawingml/2006/picture">
                <pic:pic>
                  <pic:nvPicPr>
                    <pic:cNvPr descr="figures/fig10_xtdb.png" id="2365" name="Picture"/>
                    <pic:cNvPicPr>
                      <a:picLocks noChangeArrowheads="1" noChangeAspect="1"/>
                    </pic:cNvPicPr>
                  </pic:nvPicPr>
                  <pic:blipFill>
                    <a:blip r:embed="rId2363"/>
                    <a:stretch>
                      <a:fillRect/>
                    </a:stretch>
                  </pic:blipFill>
                  <pic:spPr bwMode="auto">
                    <a:xfrm>
                      <a:off x="0" y="0"/>
                      <a:ext cx="5334000" cy="2383276"/>
                    </a:xfrm>
                    <a:prstGeom prst="rect">
                      <a:avLst/>
                    </a:prstGeom>
                    <a:noFill/>
                    <a:ln w="9525">
                      <a:noFill/>
                      <a:headEnd/>
                      <a:tailEnd/>
                    </a:ln>
                  </pic:spPr>
                </pic:pic>
              </a:graphicData>
            </a:graphic>
          </wp:inline>
        </w:drawing>
      </w:r>
    </w:p>
    <w:p>
      <w:pPr>
        <w:pStyle w:val="ImageCaption"/>
      </w:pPr>
      <w:r>
        <w:t xml:space="preserve">Figure 10: Third-generation XTDB databases computed in the browser by the same lower-convex-hull construction as the alloy joins. (a) Al-C from the third-generation assessment of He et al. [49], with the Einstein heat capacity and two-state liquid: the aluminium-rich liquid, the Al</w:t>
      </w:r>
      <w:r>
        <w:rPr>
          <w:vertAlign w:val="subscript"/>
        </w:rPr>
        <w:t xml:space="preserve">4</w:t>
      </w:r>
      <w:r>
        <w:t xml:space="preserve">C</w:t>
      </w:r>
      <w:r>
        <w:rPr>
          <w:vertAlign w:val="subscript"/>
        </w:rPr>
        <w:t xml:space="preserve">3</w:t>
      </w:r>
      <w:r>
        <w:t xml:space="preserve"> </w:t>
      </w:r>
      <w:r>
        <w:t xml:space="preserve">line compound at x(C) = 3/7, and graphite, reproducing the 933.47 K melting point and the Al</w:t>
      </w:r>
      <w:r>
        <w:rPr>
          <w:vertAlign w:val="subscript"/>
        </w:rPr>
        <w:t xml:space="preserve">4</w:t>
      </w:r>
      <w:r>
        <w:t xml:space="preserve">C</w:t>
      </w:r>
      <w:r>
        <w:rPr>
          <w:vertAlign w:val="subscript"/>
        </w:rPr>
        <w:t xml:space="preserve">3</w:t>
      </w:r>
      <w:r>
        <w:t xml:space="preserve"> </w:t>
      </w:r>
      <w:r>
        <w:t xml:space="preserve">peritectic near 2429 K. (b) Pb-Sn, a classic assessment [50] transcribed into XTDB and read by the same engine, giving the eutectic at 456 K and x(Sn) = 0.74. Two-phase fields are shaded; single-phase fields are left white. Temperatures in kelvin.</w:t>
      </w:r>
    </w:p>
    <w:p>
      <w:pPr>
        <w:pStyle w:val="BodyText"/>
      </w:pPr>
      <w:r>
        <w:t xml:space="preserve">The gap the present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v0.6.0 archives the exact version described, and the 142-test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2366"/>
    <w:bookmarkEnd w:id="2367"/>
    <w:bookmarkStart w:id="2368"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v0.6.0. The database files and their provenance records are in the repository’s data directory under CC BY 4.0.</w:t>
      </w:r>
    </w:p>
    <w:bookmarkEnd w:id="2368"/>
    <w:bookmarkStart w:id="2369" w:name="acknowledgements"/>
    <w:p>
      <w:pPr>
        <w:pStyle w:val="Heading2"/>
      </w:pPr>
      <w:r>
        <w:t xml:space="preserve">Acknowledgements</w:t>
      </w:r>
    </w:p>
    <w:p>
      <w:pPr>
        <w:pStyle w:val="FirstParagraph"/>
      </w:pPr>
      <w:r>
        <w:t xml:space="preserve">During the development of this software the authors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authors to its primary source before entering the database, and every reference was verified against its registry record. The authors reviewed and approved all output and take full responsibility for this article.</w:t>
      </w:r>
    </w:p>
    <w:bookmarkEnd w:id="2369"/>
    <w:bookmarkStart w:id="2370" w:name="funding-statement"/>
    <w:p>
      <w:pPr>
        <w:pStyle w:val="Heading2"/>
      </w:pPr>
      <w:r>
        <w:t xml:space="preserve">Funding statement</w:t>
      </w:r>
    </w:p>
    <w:p>
      <w:pPr>
        <w:pStyle w:val="FirstParagraph"/>
      </w:pPr>
      <w:r>
        <w:t xml:space="preserve">The development of this software received no external funding.</w:t>
      </w:r>
    </w:p>
    <w:bookmarkEnd w:id="2370"/>
    <w:bookmarkStart w:id="2371" w:name="competing-interests"/>
    <w:p>
      <w:pPr>
        <w:pStyle w:val="Heading2"/>
      </w:pPr>
      <w:r>
        <w:t xml:space="preserve">Competing interests</w:t>
      </w:r>
    </w:p>
    <w:p>
      <w:pPr>
        <w:pStyle w:val="FirstParagraph"/>
      </w:pPr>
      <w:r>
        <w:t xml:space="preserve">Both authors are affiliated with Odinzen LLC, which provides commercial thermodynamic modeling services, and declare this as a competing interest; Michael E. Bustamante founded the company. The software and database published here are released in full under open licenses, and no proprietary Odinzen assets are included.</w:t>
      </w:r>
    </w:p>
    <w:bookmarkEnd w:id="2371"/>
    <w:bookmarkStart w:id="2372"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Zaitsev AI, Litvina AD, Lyakishev NP, Mogutnov BM. Thermodynamics of CaO-Al2O3-SiO2 and CaF2-CaO-Al2O3-SiO2 melts. J Chem Soc Faraday Trans. 1997;93(17):3089-3098. doi:10.1039/a700511c</w:t>
      </w:r>
    </w:p>
    <w:p>
      <w:pPr>
        <w:pStyle w:val="BodyText"/>
      </w:pPr>
      <w:r>
        <w:t xml:space="preserve">[36] Barin I. Thermochemical Data of Pure Substances. 3rd ed. Weinheim: VCH; 1995. doi:10.1002/9783527619825</w:t>
      </w:r>
    </w:p>
    <w:p>
      <w:pPr>
        <w:pStyle w:val="BodyText"/>
      </w:pPr>
      <w:r>
        <w:t xml:space="preserve">[37] Hersh LS, Kleppa OJ. Enthalpies of Mixing in Some Binary Liquid Halide Mixtures. J Chem Phys. 1965;42:1309. doi:10.1063/1.1696115</w:t>
      </w:r>
    </w:p>
    <w:p>
      <w:pPr>
        <w:pStyle w:val="BodyText"/>
      </w:pPr>
      <w:r>
        <w:t xml:space="preserve">[38] Sangster J, Pelton AD. Phase Diagrams and Thermodynamic Properties of the 70 Binary Alkali Halide Systems Having Common Ions. J Phys Chem Ref Data. 1987;16:509. doi:10.1063/1.555803</w:t>
      </w:r>
    </w:p>
    <w:p>
      <w:pPr>
        <w:pStyle w:val="BodyText"/>
      </w:pPr>
      <w:r>
        <w:t xml:space="preserve">[39]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[40] Rankin GA. The ternary system CaO-Al2O3-SiO2, with optical study by F. E. Wright. Am J Sci. 1915;s4-39(229):1-79. doi:10.2475/ajs.s4-39.229.1</w:t>
      </w:r>
    </w:p>
    <w:p>
      <w:pPr>
        <w:pStyle w:val="BodyText"/>
      </w:pPr>
      <w:r>
        <w:t xml:space="preserve">[41] an Mey S. Reevaluation of the Al-Zn system. Z Metallkd. 1993;84(7):451-5. doi:10.1515/ijmr-1993-840704</w:t>
      </w:r>
    </w:p>
    <w:p>
      <w:pPr>
        <w:pStyle w:val="BodyText"/>
      </w:pPr>
      <w:r>
        <w:t xml:space="preserve">[42] Goodwin DG, Moffat HK, Schoegl I, Speth RL, Weber BW. Cantera: An Object-oriented Software Toolkit for Chemical Kinetics, Thermodynamics, and Transport Processes. Version 3.1.0; 2024. doi:10.5281/zenodo.14455267</w:t>
      </w:r>
    </w:p>
    <w:p>
      <w:pPr>
        <w:pStyle w:val="BodyText"/>
      </w:pPr>
      <w:r>
        <w:t xml:space="preserve">[43] Dinsdale AT. SGTE data for pure elements. Calphad. 1991 Oct;15(4):317-425. doi:10.1016/0364-5916(91)90030-N</w:t>
      </w:r>
    </w:p>
    <w:p>
      <w:pPr>
        <w:pStyle w:val="BodyText"/>
      </w:pPr>
      <w:r>
        <w:t xml:space="preserve">[44] McBride BJ, Zehe MJ, Gordon S. NASA Glenn Coefficients for Calculating Thermodynamic Properties of Individual Species. NASA/TP-2002-211556. Cleveland (OH): NASA Glenn Research Center; 2002.</w:t>
      </w:r>
    </w:p>
    <w:p>
      <w:pPr>
        <w:pStyle w:val="BodyText"/>
      </w:pPr>
      <w:r>
        <w:t xml:space="preserve">[45] Smith GP, Golden DM, Frenklach M, Moriarty NW, Eiteneer B, Goldenberg M, et al. GRI-Mech 3.0 [Internet]. 1999. Available from: http://combustion.berkeley.edu/gri-mech/</w:t>
      </w:r>
    </w:p>
    <w:p>
      <w:pPr>
        <w:pStyle w:val="BodyText"/>
      </w:pPr>
      <w:r>
        <w:t xml:space="preserve">[46] Dinsdale A, Zobac O, Kroupa A, Khvan A. Use of third generation data for the elements to model the thermodynamics of binary alloy systems: Part 1 - The critical assessment of data for the Al-Zn system. Calphad. 2020 Mar;68:101723. doi:10.1016/j.calphad.2019.101723</w:t>
      </w:r>
    </w:p>
    <w:p>
      <w:pPr>
        <w:pStyle w:val="BodyText"/>
      </w:pPr>
      <w:r>
        <w:t xml:space="preserve">[47] Massalski TB, editor. Binary Alloy Phase Diagrams. 2nd ed. Materials Park (OH): ASM International; 1990.</w:t>
      </w:r>
    </w:p>
    <w:p>
      <w:pPr>
        <w:pStyle w:val="BodyText"/>
      </w:pPr>
      <w:r>
        <w:t xml:space="preserve">[48] Chen Q, Sundman B. Modeling of thermodynamic properties for Bcc, Fcc, liquid, and amorphous iron. J Phase Equilibria. 2001 Nov;22(6):631-44. doi:10.1007/s11669-001-0027-9</w:t>
      </w:r>
    </w:p>
    <w:p>
      <w:pPr>
        <w:pStyle w:val="BodyText"/>
      </w:pPr>
      <w:r>
        <w:t xml:space="preserve">[49] He Z, Kaplan B, Mao H, Selleby M. The third generation Calphad description of Al-C including revisions of pure Al and C. Calphad. 2021 Mar;72:102250. doi:10.1016/j.calphad.2021.102250</w:t>
      </w:r>
    </w:p>
    <w:p>
      <w:pPr>
        <w:pStyle w:val="BodyText"/>
      </w:pPr>
      <w:r>
        <w:t xml:space="preserve">[50] Ngai TL, Chang YA. A thermodynamic analysis of the Pb-Sn system and the calculation of the Pb-Sn phase diagram. Calphad. 1981;5(4):267-76. doi:10.1016/0364-5916(81)90009-2</w:t>
      </w:r>
    </w:p>
    <w:bookmarkEnd w:id="2372"/>
    <w:bookmarkEnd w:id="23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322" Target="numbering.xml" /><Relationship Type="http://schemas.openxmlformats.org/officeDocument/2006/relationships/styles" Id="rId2321" Target="styles.xml" /><Relationship Type="http://schemas.openxmlformats.org/officeDocument/2006/relationships/settings" Id="rId2320" Target="settings.xml" /><Relationship Type="http://schemas.openxmlformats.org/officeDocument/2006/relationships/webSettings" Id="rId2319" Target="webSettings.xml" /><Relationship Type="http://schemas.openxmlformats.org/officeDocument/2006/relationships/fontTable" Id="rId2318" Target="fontTable.xml" /><Relationship Type="http://schemas.openxmlformats.org/officeDocument/2006/relationships/theme" Id="rId2317" Target="theme/theme1.xml" /><Relationship Type="http://schemas.openxmlformats.org/officeDocument/2006/relationships/footnotes" Id="rId2316" Target="footnotes.xml" /><Relationship Type="http://schemas.openxmlformats.org/officeDocument/2006/relationships/comments" Id="rId2315"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Id="rId1492" Target="media/rId1492.png" Type="http://schemas.openxmlformats.org/officeDocument/2006/relationships/image" /><Relationship Id="rId1495" Target="media/rId1495.png" Type="http://schemas.openxmlformats.org/officeDocument/2006/relationships/image" /><Relationship Id="rId1498" Target="media/rId1498.png" Type="http://schemas.openxmlformats.org/officeDocument/2006/relationships/image" /><Relationship Id="rId1513" Target="media/rId1513.png" Type="http://schemas.openxmlformats.org/officeDocument/2006/relationships/image" /><Relationship Id="rId1516" Target="media/rId1516.png" Type="http://schemas.openxmlformats.org/officeDocument/2006/relationships/image" /><Relationship Id="rId1519" Target="media/rId1519.png" Type="http://schemas.openxmlformats.org/officeDocument/2006/relationships/image" /><Relationship Id="rId1522" Target="media/rId1522.png" Type="http://schemas.openxmlformats.org/officeDocument/2006/relationships/image" /><Relationship Id="rId1525" Target="media/rId1525.png" Type="http://schemas.openxmlformats.org/officeDocument/2006/relationships/image" /><Relationship Id="rId1535" Target="media/rId1535.png" Type="http://schemas.openxmlformats.org/officeDocument/2006/relationships/image" /><Relationship Id="rId1538" Target="media/rId1538.png" Type="http://schemas.openxmlformats.org/officeDocument/2006/relationships/image" /><Relationship Id="rId1541" Target="media/rId1541.png" Type="http://schemas.openxmlformats.org/officeDocument/2006/relationships/image" /><Relationship Id="rId1556" Target="media/rId1556.png" Type="http://schemas.openxmlformats.org/officeDocument/2006/relationships/image" /><Relationship Id="rId1559" Target="media/rId1559.png" Type="http://schemas.openxmlformats.org/officeDocument/2006/relationships/image" /><Relationship Id="rId1562" Target="media/rId1562.png" Type="http://schemas.openxmlformats.org/officeDocument/2006/relationships/image" /><Relationship Id="rId1565" Target="media/rId1565.png" Type="http://schemas.openxmlformats.org/officeDocument/2006/relationships/image" /><Relationship Id="rId1568" Target="media/rId1568.png" Type="http://schemas.openxmlformats.org/officeDocument/2006/relationships/image" /><Relationship Id="rId1578" Target="media/rId1578.png" Type="http://schemas.openxmlformats.org/officeDocument/2006/relationships/image" /><Relationship Id="rId1581" Target="media/rId1581.png" Type="http://schemas.openxmlformats.org/officeDocument/2006/relationships/image" /><Relationship Id="rId1584" Target="media/rId1584.png" Type="http://schemas.openxmlformats.org/officeDocument/2006/relationships/image" /><Relationship Id="rId1599" Target="media/rId1599.png" Type="http://schemas.openxmlformats.org/officeDocument/2006/relationships/image" /><Relationship Id="rId1602" Target="media/rId1602.png" Type="http://schemas.openxmlformats.org/officeDocument/2006/relationships/image" /><Relationship Id="rId1605" Target="media/rId1605.png" Type="http://schemas.openxmlformats.org/officeDocument/2006/relationships/image" /><Relationship Id="rId1608" Target="media/rId1608.png" Type="http://schemas.openxmlformats.org/officeDocument/2006/relationships/image" /><Relationship Id="rId1611" Target="media/rId1611.png" Type="http://schemas.openxmlformats.org/officeDocument/2006/relationships/image" /><Relationship Id="rId1621" Target="media/rId1621.png" Type="http://schemas.openxmlformats.org/officeDocument/2006/relationships/image" /><Relationship Id="rId1624" Target="media/rId1624.png" Type="http://schemas.openxmlformats.org/officeDocument/2006/relationships/image" /><Relationship Id="rId1627" Target="media/rId1627.png" Type="http://schemas.openxmlformats.org/officeDocument/2006/relationships/image" /><Relationship Id="rId1642" Target="media/rId1642.png" Type="http://schemas.openxmlformats.org/officeDocument/2006/relationships/image" /><Relationship Id="rId1645" Target="media/rId1645.png" Type="http://schemas.openxmlformats.org/officeDocument/2006/relationships/image" /><Relationship Id="rId1648" Target="media/rId1648.png" Type="http://schemas.openxmlformats.org/officeDocument/2006/relationships/image" /><Relationship Id="rId1651" Target="media/rId1651.png" Type="http://schemas.openxmlformats.org/officeDocument/2006/relationships/image" /><Relationship Id="rId1654" Target="media/rId1654.png" Type="http://schemas.openxmlformats.org/officeDocument/2006/relationships/image" /><Relationship Id="rId1664" Target="media/rId1664.png" Type="http://schemas.openxmlformats.org/officeDocument/2006/relationships/image" /><Relationship Id="rId1667" Target="media/rId1667.png" Type="http://schemas.openxmlformats.org/officeDocument/2006/relationships/image" /><Relationship Id="rId1670" Target="media/rId1670.png" Type="http://schemas.openxmlformats.org/officeDocument/2006/relationships/image" /><Relationship Id="rId1685" Target="media/rId1685.png" Type="http://schemas.openxmlformats.org/officeDocument/2006/relationships/image" /><Relationship Id="rId1688" Target="media/rId1688.png" Type="http://schemas.openxmlformats.org/officeDocument/2006/relationships/image" /><Relationship Id="rId1691" Target="media/rId1691.png" Type="http://schemas.openxmlformats.org/officeDocument/2006/relationships/image" /><Relationship Id="rId1694" Target="media/rId1694.png" Type="http://schemas.openxmlformats.org/officeDocument/2006/relationships/image" /><Relationship Id="rId1697" Target="media/rId1697.png" Type="http://schemas.openxmlformats.org/officeDocument/2006/relationships/image" /><Relationship Id="rId1707" Target="media/rId1707.png" Type="http://schemas.openxmlformats.org/officeDocument/2006/relationships/image" /><Relationship Id="rId1710" Target="media/rId1710.png" Type="http://schemas.openxmlformats.org/officeDocument/2006/relationships/image" /><Relationship Id="rId1713" Target="media/rId1713.png" Type="http://schemas.openxmlformats.org/officeDocument/2006/relationships/image" /><Relationship Id="rId1728" Target="media/rId1728.png" Type="http://schemas.openxmlformats.org/officeDocument/2006/relationships/image" /><Relationship Id="rId1731" Target="media/rId1731.png" Type="http://schemas.openxmlformats.org/officeDocument/2006/relationships/image" /><Relationship Id="rId1734" Target="media/rId1734.png" Type="http://schemas.openxmlformats.org/officeDocument/2006/relationships/image" /><Relationship Id="rId1737" Target="media/rId1737.png" Type="http://schemas.openxmlformats.org/officeDocument/2006/relationships/image" /><Relationship Id="rId1740" Target="media/rId1740.png" Type="http://schemas.openxmlformats.org/officeDocument/2006/relationships/image" /><Relationship Id="rId1750" Target="media/rId1750.png" Type="http://schemas.openxmlformats.org/officeDocument/2006/relationships/image" /><Relationship Id="rId1753" Target="media/rId1753.png" Type="http://schemas.openxmlformats.org/officeDocument/2006/relationships/image" /><Relationship Id="rId1756" Target="media/rId1756.png" Type="http://schemas.openxmlformats.org/officeDocument/2006/relationships/image" /><Relationship Id="rId1771" Target="media/rId1771.png" Type="http://schemas.openxmlformats.org/officeDocument/2006/relationships/image" /><Relationship Id="rId1774" Target="media/rId1774.png" Type="http://schemas.openxmlformats.org/officeDocument/2006/relationships/image" /><Relationship Id="rId1777" Target="media/rId1777.png" Type="http://schemas.openxmlformats.org/officeDocument/2006/relationships/image" /><Relationship Id="rId1780" Target="media/rId1780.png" Type="http://schemas.openxmlformats.org/officeDocument/2006/relationships/image" /><Relationship Id="rId1783" Target="media/rId1783.png" Type="http://schemas.openxmlformats.org/officeDocument/2006/relationships/image" /><Relationship Id="rId1793" Target="media/rId1793.png" Type="http://schemas.openxmlformats.org/officeDocument/2006/relationships/image" /><Relationship Id="rId1796" Target="media/rId1796.png" Type="http://schemas.openxmlformats.org/officeDocument/2006/relationships/image" /><Relationship Id="rId1799" Target="media/rId1799.png" Type="http://schemas.openxmlformats.org/officeDocument/2006/relationships/image" /><Relationship Id="rId1814" Target="media/rId1814.png" Type="http://schemas.openxmlformats.org/officeDocument/2006/relationships/image" /><Relationship Id="rId1817" Target="media/rId1817.png" Type="http://schemas.openxmlformats.org/officeDocument/2006/relationships/image" /><Relationship Id="rId1820" Target="media/rId1820.png" Type="http://schemas.openxmlformats.org/officeDocument/2006/relationships/image" /><Relationship Id="rId1823" Target="media/rId1823.png" Type="http://schemas.openxmlformats.org/officeDocument/2006/relationships/image" /><Relationship Id="rId1826" Target="media/rId1826.png" Type="http://schemas.openxmlformats.org/officeDocument/2006/relationships/image" /><Relationship Id="rId1836" Target="media/rId1836.png" Type="http://schemas.openxmlformats.org/officeDocument/2006/relationships/image" /><Relationship Id="rId1839" Target="media/rId1839.png" Type="http://schemas.openxmlformats.org/officeDocument/2006/relationships/image" /><Relationship Id="rId1842" Target="media/rId1842.png" Type="http://schemas.openxmlformats.org/officeDocument/2006/relationships/image" /><Relationship Id="rId1857" Target="media/rId1857.png" Type="http://schemas.openxmlformats.org/officeDocument/2006/relationships/image" /><Relationship Id="rId1860" Target="media/rId1860.png" Type="http://schemas.openxmlformats.org/officeDocument/2006/relationships/image" /><Relationship Id="rId1863" Target="media/rId1863.png" Type="http://schemas.openxmlformats.org/officeDocument/2006/relationships/image" /><Relationship Id="rId1866" Target="media/rId1866.png" Type="http://schemas.openxmlformats.org/officeDocument/2006/relationships/image" /><Relationship Id="rId1869" Target="media/rId1869.png" Type="http://schemas.openxmlformats.org/officeDocument/2006/relationships/image" /><Relationship Id="rId1879" Target="media/rId1879.png" Type="http://schemas.openxmlformats.org/officeDocument/2006/relationships/image" /><Relationship Id="rId1882" Target="media/rId1882.png" Type="http://schemas.openxmlformats.org/officeDocument/2006/relationships/image" /><Relationship Id="rId1885" Target="media/rId1885.png" Type="http://schemas.openxmlformats.org/officeDocument/2006/relationships/image" /><Relationship Id="rId1900" Target="media/rId1900.png" Type="http://schemas.openxmlformats.org/officeDocument/2006/relationships/image" /><Relationship Id="rId1903" Target="media/rId1903.png" Type="http://schemas.openxmlformats.org/officeDocument/2006/relationships/image" /><Relationship Id="rId1906" Target="media/rId1906.png" Type="http://schemas.openxmlformats.org/officeDocument/2006/relationships/image" /><Relationship Id="rId1909" Target="media/rId1909.png" Type="http://schemas.openxmlformats.org/officeDocument/2006/relationships/image" /><Relationship Id="rId1912" Target="media/rId1912.png" Type="http://schemas.openxmlformats.org/officeDocument/2006/relationships/image" /><Relationship Id="rId1922" Target="media/rId1922.png" Type="http://schemas.openxmlformats.org/officeDocument/2006/relationships/image" /><Relationship Id="rId1925" Target="media/rId1925.png" Type="http://schemas.openxmlformats.org/officeDocument/2006/relationships/image" /><Relationship Id="rId1928" Target="media/rId1928.png" Type="http://schemas.openxmlformats.org/officeDocument/2006/relationships/image" /><Relationship Id="rId1943" Target="media/rId1943.png" Type="http://schemas.openxmlformats.org/officeDocument/2006/relationships/image" /><Relationship Id="rId1946" Target="media/rId1946.png" Type="http://schemas.openxmlformats.org/officeDocument/2006/relationships/image" /><Relationship Id="rId1949" Target="media/rId1949.png" Type="http://schemas.openxmlformats.org/officeDocument/2006/relationships/image" /><Relationship Id="rId1952" Target="media/rId1952.png" Type="http://schemas.openxmlformats.org/officeDocument/2006/relationships/image" /><Relationship Id="rId1955" Target="media/rId1955.png" Type="http://schemas.openxmlformats.org/officeDocument/2006/relationships/image" /><Relationship Id="rId1965" Target="media/rId1965.png" Type="http://schemas.openxmlformats.org/officeDocument/2006/relationships/image" /><Relationship Id="rId1968" Target="media/rId1968.png" Type="http://schemas.openxmlformats.org/officeDocument/2006/relationships/image" /><Relationship Id="rId1971" Target="media/rId1971.png" Type="http://schemas.openxmlformats.org/officeDocument/2006/relationships/image" /><Relationship Id="rId1986" Target="media/rId1986.png" Type="http://schemas.openxmlformats.org/officeDocument/2006/relationships/image" /><Relationship Id="rId1989" Target="media/rId1989.png" Type="http://schemas.openxmlformats.org/officeDocument/2006/relationships/image" /><Relationship Id="rId1992" Target="media/rId1992.png" Type="http://schemas.openxmlformats.org/officeDocument/2006/relationships/image" /><Relationship Id="rId1995" Target="media/rId1995.png" Type="http://schemas.openxmlformats.org/officeDocument/2006/relationships/image" /><Relationship Id="rId1998" Target="media/rId1998.png" Type="http://schemas.openxmlformats.org/officeDocument/2006/relationships/image" /><Relationship Id="rId2008" Target="media/rId2008.png" Type="http://schemas.openxmlformats.org/officeDocument/2006/relationships/image" /><Relationship Id="rId2011" Target="media/rId2011.png" Type="http://schemas.openxmlformats.org/officeDocument/2006/relationships/image" /><Relationship Id="rId2014" Target="media/rId2014.png" Type="http://schemas.openxmlformats.org/officeDocument/2006/relationships/image" /><Relationship Id="rId2029" Target="media/rId2029.png" Type="http://schemas.openxmlformats.org/officeDocument/2006/relationships/image" /><Relationship Id="rId2032" Target="media/rId2032.png" Type="http://schemas.openxmlformats.org/officeDocument/2006/relationships/image" /><Relationship Id="rId2035" Target="media/rId2035.png" Type="http://schemas.openxmlformats.org/officeDocument/2006/relationships/image" /><Relationship Id="rId2038" Target="media/rId2038.png" Type="http://schemas.openxmlformats.org/officeDocument/2006/relationships/image" /><Relationship Id="rId2041" Target="media/rId2041.png" Type="http://schemas.openxmlformats.org/officeDocument/2006/relationships/image" /><Relationship Id="rId2051" Target="media/rId2051.png" Type="http://schemas.openxmlformats.org/officeDocument/2006/relationships/image" /><Relationship Id="rId2054" Target="media/rId2054.png" Type="http://schemas.openxmlformats.org/officeDocument/2006/relationships/image" /><Relationship Id="rId2057" Target="media/rId2057.png" Type="http://schemas.openxmlformats.org/officeDocument/2006/relationships/image" /><Relationship Id="rId2072" Target="media/rId2072.png" Type="http://schemas.openxmlformats.org/officeDocument/2006/relationships/image" /><Relationship Id="rId2075" Target="media/rId2075.png" Type="http://schemas.openxmlformats.org/officeDocument/2006/relationships/image" /><Relationship Id="rId2078" Target="media/rId2078.png" Type="http://schemas.openxmlformats.org/officeDocument/2006/relationships/image" /><Relationship Id="rId2081" Target="media/rId2081.png" Type="http://schemas.openxmlformats.org/officeDocument/2006/relationships/image" /><Relationship Id="rId2084" Target="media/rId2084.png" Type="http://schemas.openxmlformats.org/officeDocument/2006/relationships/image" /><Relationship Id="rId2094" Target="media/rId2094.png" Type="http://schemas.openxmlformats.org/officeDocument/2006/relationships/image" /><Relationship Id="rId2097" Target="media/rId2097.png" Type="http://schemas.openxmlformats.org/officeDocument/2006/relationships/image" /><Relationship Id="rId2100" Target="media/rId2100.png" Type="http://schemas.openxmlformats.org/officeDocument/2006/relationships/image" /><Relationship Id="rId2115" Target="media/rId2115.png" Type="http://schemas.openxmlformats.org/officeDocument/2006/relationships/image" /><Relationship Id="rId2118" Target="media/rId2118.png" Type="http://schemas.openxmlformats.org/officeDocument/2006/relationships/image" /><Relationship Id="rId2121" Target="media/rId2121.png" Type="http://schemas.openxmlformats.org/officeDocument/2006/relationships/image" /><Relationship Id="rId2124" Target="media/rId2124.png" Type="http://schemas.openxmlformats.org/officeDocument/2006/relationships/image" /><Relationship Id="rId2127" Target="media/rId2127.png" Type="http://schemas.openxmlformats.org/officeDocument/2006/relationships/image" /><Relationship Id="rId2130" Target="media/rId2130.png" Type="http://schemas.openxmlformats.org/officeDocument/2006/relationships/image" /><Relationship Id="rId2140" Target="media/rId2140.png" Type="http://schemas.openxmlformats.org/officeDocument/2006/relationships/image" /><Relationship Id="rId2143" Target="media/rId2143.png" Type="http://schemas.openxmlformats.org/officeDocument/2006/relationships/image" /><Relationship Id="rId2146" Target="media/rId2146.png" Type="http://schemas.openxmlformats.org/officeDocument/2006/relationships/image" /><Relationship Id="rId2161" Target="media/rId2161.png" Type="http://schemas.openxmlformats.org/officeDocument/2006/relationships/image" /><Relationship Id="rId2164" Target="media/rId2164.png" Type="http://schemas.openxmlformats.org/officeDocument/2006/relationships/image" /><Relationship Id="rId2167" Target="media/rId2167.png" Type="http://schemas.openxmlformats.org/officeDocument/2006/relationships/image" /><Relationship Id="rId2170" Target="media/rId2170.png" Type="http://schemas.openxmlformats.org/officeDocument/2006/relationships/image" /><Relationship Id="rId2173" Target="media/rId2173.png" Type="http://schemas.openxmlformats.org/officeDocument/2006/relationships/image" /><Relationship Id="rId2176" Target="media/rId2176.png" Type="http://schemas.openxmlformats.org/officeDocument/2006/relationships/image" /><Relationship Id="rId2186" Target="media/rId2186.png" Type="http://schemas.openxmlformats.org/officeDocument/2006/relationships/image" /><Relationship Id="rId2189" Target="media/rId2189.png" Type="http://schemas.openxmlformats.org/officeDocument/2006/relationships/image" /><Relationship Id="rId2192" Target="media/rId2192.png" Type="http://schemas.openxmlformats.org/officeDocument/2006/relationships/image" /><Relationship Id="rId2207" Target="media/rId2207.png" Type="http://schemas.openxmlformats.org/officeDocument/2006/relationships/image" /><Relationship Id="rId2210" Target="media/rId2210.png" Type="http://schemas.openxmlformats.org/officeDocument/2006/relationships/image" /><Relationship Id="rId2213" Target="media/rId2213.png" Type="http://schemas.openxmlformats.org/officeDocument/2006/relationships/image" /><Relationship Id="rId2216" Target="media/rId2216.png" Type="http://schemas.openxmlformats.org/officeDocument/2006/relationships/image" /><Relationship Id="rId2219" Target="media/rId2219.png" Type="http://schemas.openxmlformats.org/officeDocument/2006/relationships/image" /><Relationship Id="rId2222" Target="media/rId2222.png" Type="http://schemas.openxmlformats.org/officeDocument/2006/relationships/image" /><Relationship Id="rId2232" Target="media/rId2232.png" Type="http://schemas.openxmlformats.org/officeDocument/2006/relationships/image" /><Relationship Id="rId2235" Target="media/rId2235.png" Type="http://schemas.openxmlformats.org/officeDocument/2006/relationships/image" /><Relationship Id="rId2238" Target="media/rId2238.png" Type="http://schemas.openxmlformats.org/officeDocument/2006/relationships/image" /><Relationship Id="rId2253" Target="media/rId2253.png" Type="http://schemas.openxmlformats.org/officeDocument/2006/relationships/image" /><Relationship Id="rId2256" Target="media/rId2256.png" Type="http://schemas.openxmlformats.org/officeDocument/2006/relationships/image" /><Relationship Id="rId2259" Target="media/rId2259.png" Type="http://schemas.openxmlformats.org/officeDocument/2006/relationships/image" /><Relationship Id="rId2262" Target="media/rId2262.png" Type="http://schemas.openxmlformats.org/officeDocument/2006/relationships/image" /><Relationship Id="rId2265" Target="media/rId2265.png" Type="http://schemas.openxmlformats.org/officeDocument/2006/relationships/image" /><Relationship Id="rId2268" Target="media/rId2268.png" Type="http://schemas.openxmlformats.org/officeDocument/2006/relationships/image" /><Relationship Id="rId2278" Target="media/rId2278.png" Type="http://schemas.openxmlformats.org/officeDocument/2006/relationships/image" /><Relationship Id="rId2281" Target="media/rId2281.png" Type="http://schemas.openxmlformats.org/officeDocument/2006/relationships/image" /><Relationship Id="rId2284" Target="media/rId2284.png" Type="http://schemas.openxmlformats.org/officeDocument/2006/relationships/image" /><Relationship Id="rId2299" Target="media/rId2299.png" Type="http://schemas.openxmlformats.org/officeDocument/2006/relationships/image" /><Relationship Id="rId2302" Target="media/rId2302.png" Type="http://schemas.openxmlformats.org/officeDocument/2006/relationships/image" /><Relationship Id="rId2305" Target="media/rId2305.png" Type="http://schemas.openxmlformats.org/officeDocument/2006/relationships/image" /><Relationship Id="rId2308" Target="media/rId2308.png" Type="http://schemas.openxmlformats.org/officeDocument/2006/relationships/image" /><Relationship Id="rId2311" Target="media/rId2311.png" Type="http://schemas.openxmlformats.org/officeDocument/2006/relationships/image" /><Relationship Id="rId2314" Target="media/rId2314.png" Type="http://schemas.openxmlformats.org/officeDocument/2006/relationships/image" /><Relationship Type="http://schemas.openxmlformats.org/officeDocument/2006/relationships/image" Id="rId2363" Target="media/rId2363.png" /><Relationship Type="http://schemas.openxmlformats.org/officeDocument/2006/relationships/image" Id="rId2324" Target="media/rId2324.png" /><Relationship Type="http://schemas.openxmlformats.org/officeDocument/2006/relationships/image" Id="rId2327" Target="media/rId2327.png" /><Relationship Type="http://schemas.openxmlformats.org/officeDocument/2006/relationships/image" Id="rId2330" Target="media/rId2330.png" /><Relationship Type="http://schemas.openxmlformats.org/officeDocument/2006/relationships/image" Id="rId2345" Target="media/rId2345.png" /><Relationship Type="http://schemas.openxmlformats.org/officeDocument/2006/relationships/image" Id="rId2348" Target="media/rId2348.png" /><Relationship Type="http://schemas.openxmlformats.org/officeDocument/2006/relationships/image" Id="rId2351" Target="media/rId2351.png" /><Relationship Type="http://schemas.openxmlformats.org/officeDocument/2006/relationships/image" Id="rId2354" Target="media/rId2354.png" /><Relationship Type="http://schemas.openxmlformats.org/officeDocument/2006/relationships/image" Id="rId2357" Target="media/rId2357.png" /><Relationship Type="http://schemas.openxmlformats.org/officeDocument/2006/relationships/image" Id="rId2360" Target="media/rId23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2026-09-10T14:35:20Z</dcterms:created>
  <dcterms:modified xsi:type="dcterms:W3CDTF">2026-09-10T14:35:20Z</dcterms:modified>
</cp:coreProperties>
</file>

<file path=docProps/custom.xml><?xml version="1.0" encoding="utf-8"?>
<Properties xmlns="http://schemas.openxmlformats.org/officeDocument/2006/custom-properties" xmlns:vt="http://schemas.openxmlformats.org/officeDocument/2006/docPropsVTypes"/>
</file>