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63.png" ContentType="image/png"/>
  <Override PartName="/word/media/rId2324.png" ContentType="image/png"/>
  <Override PartName="/word/media/rId2327.png" ContentType="image/png"/>
  <Override PartName="/word/media/rId2330.png" ContentType="image/png"/>
  <Override PartName="/word/media/rId2345.png" ContentType="image/png"/>
  <Override PartName="/word/media/rId2348.png" ContentType="image/png"/>
  <Override PartName="/word/media/rId2351.png" ContentType="image/png"/>
  <Override PartName="/word/media/rId2354.png" ContentType="image/png"/>
  <Override PartName="/word/media/rId2357.png" ContentType="image/png"/>
  <Override PartName="/word/media/rId23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73"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 Gabriel Bustamante</w:t>
      </w:r>
    </w:p>
    <w:p>
      <w:pPr>
        <w:pStyle w:val="BodyText"/>
      </w:pPr>
      <w:r>
        <w:t xml:space="preserve">Odinzen LLC, Houston, TX, United States</w:t>
      </w:r>
    </w:p>
    <w:p>
      <w:pPr>
        <w:pStyle w:val="BodyText"/>
      </w:pPr>
      <w:r>
        <w:t xml:space="preserve">Corresponding author: Michael E. Bustamante (michaelbusta@odinzen.io)</w:t>
      </w:r>
    </w:p>
    <w:p>
      <w:pPr>
        <w:pStyle w:val="BodyText"/>
      </w:pPr>
      <w:r>
        <w:t xml:space="preserve">ORCID: Michael E. Bustamante, 0009-0009-9001-8151; Gabriel Bustamante, 0009-0005-3269-024X</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It reads XTDB, the community’s XML successor format, including its third-generation models, an Einstein heat capacity valid to 0 K and a two-state liquid, shown by shipped Al-C and Pb-Sn databases computed in the browser. One zero-install page calculates across all four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cement-and-slag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and a CaO-FeO-MgO-SiO</w:t>
      </w:r>
      <w:r>
        <w:rPr>
          <w:vertAlign w:val="subscript"/>
        </w:rPr>
        <w:t xml:space="preserve">2</w:t>
      </w:r>
      <w:r>
        <w:t xml:space="preserve"> </w:t>
      </w:r>
      <w:r>
        <w:t xml:space="preserve">quaternary, with olivine, orthopyroxene, clinopyroxene, and spinel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336" w:name="overview"/>
    <w:p>
      <w:pPr>
        <w:pStyle w:val="Heading2"/>
      </w:pPr>
      <w:r>
        <w:t xml:space="preserve">(1) Overview</w:t>
      </w:r>
    </w:p>
    <w:bookmarkStart w:id="232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This engine reads all three: it parses XTDB directly, including the third-generation models the format was built to carry, an Einstein heat capacity valid to 0 K in place of the older polynomial and a two-state description of the liquid, so the XML successor is a dialect the calculator already reads rather than a future dependency.</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unified XML schema, MQMQA and third-generation models included; read by this engine</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323"/>
    <w:bookmarkStart w:id="233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2325" name="Picture"/>
            <a:graphic>
              <a:graphicData uri="http://schemas.openxmlformats.org/drawingml/2006/picture">
                <pic:pic>
                  <pic:nvPicPr>
                    <pic:cNvPr descr="figures/fig1_architecture.png" id="2326" name="Picture"/>
                    <pic:cNvPicPr>
                      <a:picLocks noChangeArrowheads="1" noChangeAspect="1"/>
                    </pic:cNvPicPr>
                  </pic:nvPicPr>
                  <pic:blipFill>
                    <a:blip r:embed="rId232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328" name="Picture"/>
            <a:graphic>
              <a:graphicData uri="http://schemas.openxmlformats.org/drawingml/2006/picture">
                <pic:pic>
                  <pic:nvPicPr>
                    <pic:cNvPr descr="figures/fig2_browser_app.png" id="2329" name="Picture"/>
                    <pic:cNvPicPr>
                      <a:picLocks noChangeArrowheads="1" noChangeAspect="1"/>
                    </pic:cNvPicPr>
                  </pic:nvPicPr>
                  <pic:blipFill>
                    <a:blip r:embed="rId2327"/>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331" name="Picture"/>
            <a:graphic>
              <a:graphicData uri="http://schemas.openxmlformats.org/drawingml/2006/picture">
                <pic:pic>
                  <pic:nvPicPr>
                    <pic:cNvPr descr="figures/fig3_ternary.png" id="2332" name="Picture"/>
                    <pic:cNvPicPr>
                      <a:picLocks noChangeArrowheads="1" noChangeAspect="1"/>
                    </pic:cNvPicPr>
                  </pic:nvPicPr>
                  <pic:blipFill>
                    <a:blip r:embed="rId233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333"/>
    <w:bookmarkStart w:id="233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334"/>
    <w:bookmarkStart w:id="233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142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v0.6.0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335"/>
    <w:bookmarkEnd w:id="2336"/>
    <w:bookmarkStart w:id="2344" w:name="availability"/>
    <w:p>
      <w:pPr>
        <w:pStyle w:val="Heading2"/>
      </w:pPr>
      <w:r>
        <w:t xml:space="preserve">(2) Availability</w:t>
      </w:r>
    </w:p>
    <w:bookmarkStart w:id="233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337"/>
    <w:bookmarkStart w:id="233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338"/>
    <w:bookmarkStart w:id="233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339"/>
    <w:bookmarkStart w:id="234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340"/>
    <w:bookmarkStart w:id="2341" w:name="list-of-contributors"/>
    <w:p>
      <w:pPr>
        <w:pStyle w:val="Heading3"/>
      </w:pPr>
      <w:r>
        <w:t xml:space="preserve">List of contributors</w:t>
      </w:r>
    </w:p>
    <w:p>
      <w:pPr>
        <w:pStyle w:val="FirstParagraph"/>
      </w:pPr>
      <w:r>
        <w:t xml:space="preserve">Michael E. Bustamante (design, implementation, validation, data curation, writing - original draft). Gabriel Bustamante (software, software validation, writing - review and editing).</w:t>
      </w:r>
    </w:p>
    <w:bookmarkEnd w:id="2341"/>
    <w:bookmarkStart w:id="234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https://github.com/odinzen/hephaestus-mqmqa-public/releases/tag/v0.6.0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v0.6.0</w:t>
      </w:r>
    </w:p>
    <w:p>
      <w:pPr>
        <w:pStyle w:val="Compact"/>
        <w:numPr>
          <w:ilvl w:val="0"/>
          <w:numId w:val="1001"/>
        </w:numPr>
      </w:pPr>
      <w:r>
        <w:t xml:space="preserve">Date published: 2026-09-09</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2026-09-09</w:t>
      </w:r>
    </w:p>
    <w:bookmarkEnd w:id="2342"/>
    <w:bookmarkStart w:id="2343" w:name="language"/>
    <w:p>
      <w:pPr>
        <w:pStyle w:val="Heading3"/>
      </w:pPr>
      <w:r>
        <w:t xml:space="preserve">Language</w:t>
      </w:r>
    </w:p>
    <w:p>
      <w:pPr>
        <w:pStyle w:val="FirstParagraph"/>
      </w:pPr>
      <w:r>
        <w:t xml:space="preserve">English.</w:t>
      </w:r>
    </w:p>
    <w:bookmarkEnd w:id="2343"/>
    <w:bookmarkEnd w:id="2344"/>
    <w:bookmarkStart w:id="2367"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366"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346" name="Picture"/>
            <a:graphic>
              <a:graphicData uri="http://schemas.openxmlformats.org/drawingml/2006/picture">
                <pic:pic>
                  <pic:nvPicPr>
                    <pic:cNvPr descr="figures/fig4_salt_example.png" id="2347" name="Picture"/>
                    <pic:cNvPicPr>
                      <a:picLocks noChangeArrowheads="1" noChangeAspect="1"/>
                    </pic:cNvPicPr>
                  </pic:nvPicPr>
                  <pic:blipFill>
                    <a:blip r:embed="rId234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349" name="Picture"/>
            <a:graphic>
              <a:graphicData uri="http://schemas.openxmlformats.org/drawingml/2006/picture">
                <pic:pic>
                  <pic:nvPicPr>
                    <pic:cNvPr descr="figures/fig5_alloy_example.png" id="2350" name="Picture"/>
                    <pic:cNvPicPr>
                      <a:picLocks noChangeArrowheads="1" noChangeAspect="1"/>
                    </pic:cNvPicPr>
                  </pic:nvPicPr>
                  <pic:blipFill>
                    <a:blip r:embed="rId234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The successor is not left to the future: the engine reads XTDB directly, and with it the third-generation models the format standardises. In place of the polynomial heat capacity of the classic databases, the third-generation description uses an Einstein term valid to 0 K, G</w:t>
      </w:r>
      <w:r>
        <w:rPr>
          <w:vertAlign w:val="subscript"/>
        </w:rPr>
        <w:t xml:space="preserve">E</w:t>
      </w:r>
      <w:r>
        <w:t xml:space="preserve">(θ) = 1.5 R θ + 3 R T ln(1 - exp(-θ/T)) for one vibrational mode, with the composition-dependent Einstein temperature carried by the format’s LNTH parameter and weighted by the atom count of the formula unit so a compound recovers its full 3R-per-atom heat capacity; the liquid adds the two-state contribution -R T ln(1 + exp(-ΔG</w:t>
      </w:r>
      <w:r>
        <w:rPr>
          <w:vertAlign w:val="subscript"/>
        </w:rPr>
        <w:t xml:space="preserve">d</w:t>
      </w:r>
      <w:r>
        <w:t xml:space="preserve">/RT)) [48]. The engine assembles these energies and computes the binary phase diagram in the browser by the same lower-convex-hull common-tangent construction used for the alloy joins (Figure 10). Two databases ship as worked examples: the third-generation Al-C assessment of He et al. [49], which reproduces the aluminium melting point at 933.47 K and the Al</w:t>
      </w:r>
      <w:r>
        <w:rPr>
          <w:vertAlign w:val="subscript"/>
        </w:rPr>
        <w:t xml:space="preserve">4</w:t>
      </w:r>
      <w:r>
        <w:t xml:space="preserve">C</w:t>
      </w:r>
      <w:r>
        <w:rPr>
          <w:vertAlign w:val="subscript"/>
        </w:rPr>
        <w:t xml:space="preserve">3</w:t>
      </w:r>
      <w:r>
        <w:t xml:space="preserve"> </w:t>
      </w:r>
      <w:r>
        <w:t xml:space="preserve">peritectic near 2429 K, and a classic Pb-Sn assessment [50] carried through the same reader, giving the eutectic at 456 K and x(Sn) = 0.74. The reader is validated against an independent evaluator to below 10</w:t>
      </w:r>
      <w:r>
        <w:rPr>
          <w:vertAlign w:val="superscript"/>
        </w:rPr>
        <w:t xml:space="preserve">-6</w:t>
      </w:r>
      <w:r>
        <w:t xml:space="preserve"> </w:t>
      </w:r>
      <w:r>
        <w:t xml:space="preserve">J per mole of atoms across the Einstein, two-state, and excess terms.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352" name="Picture"/>
            <a:graphic>
              <a:graphicData uri="http://schemas.openxmlformats.org/drawingml/2006/picture">
                <pic:pic>
                  <pic:nvPicPr>
                    <pic:cNvPr descr="figures/fig6_utdb_steel.png" id="2353" name="Picture"/>
                    <pic:cNvPicPr>
                      <a:picLocks noChangeArrowheads="1" noChangeAspect="1"/>
                    </pic:cNvPicPr>
                  </pic:nvPicPr>
                  <pic:blipFill>
                    <a:blip r:embed="rId2351"/>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355" name="Picture"/>
            <a:graphic>
              <a:graphicData uri="http://schemas.openxmlformats.org/drawingml/2006/picture">
                <pic:pic>
                  <pic:nvPicPr>
                    <pic:cNvPr descr="figures/fig7_gas_steel.png" id="2356" name="Picture"/>
                    <pic:cNvPicPr>
                      <a:picLocks noChangeArrowheads="1" noChangeAspect="1"/>
                    </pic:cNvPicPr>
                  </pic:nvPicPr>
                  <pic:blipFill>
                    <a:blip r:embed="rId2354"/>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358" name="Picture"/>
            <a:graphic>
              <a:graphicData uri="http://schemas.openxmlformats.org/drawingml/2006/picture">
                <pic:pic>
                  <pic:nvPicPr>
                    <pic:cNvPr descr="figures/fig8_gas_flux.png" id="2359" name="Picture"/>
                    <pic:cNvPicPr>
                      <a:picLocks noChangeArrowheads="1" noChangeAspect="1"/>
                    </pic:cNvPicPr>
                  </pic:nvPicPr>
                  <pic:blipFill>
                    <a:blip r:embed="rId2357"/>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361" name="Picture"/>
            <a:graphic>
              <a:graphicData uri="http://schemas.openxmlformats.org/drawingml/2006/picture">
                <pic:pic>
                  <pic:nvPicPr>
                    <pic:cNvPr descr="figures/fig9_uq_alzn.png" id="2362" name="Picture"/>
                    <pic:cNvPicPr>
                      <a:picLocks noChangeArrowheads="1" noChangeAspect="1"/>
                    </pic:cNvPicPr>
                  </pic:nvPicPr>
                  <pic:blipFill>
                    <a:blip r:embed="rId2360"/>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CaptionedFigure"/>
      </w:pPr>
      <w:r>
        <w:drawing>
          <wp:inline>
            <wp:extent cx="5334000" cy="2383276"/>
            <wp:effectExtent b="0" l="0" r="0" t="0"/>
            <wp:docPr descr="Figure 10: Third-generation XTDB databases computed in the browser by the same lower-convex-hull construction as the alloy joins. (a) Al-C from the third-generation assessment of He et al. [49], with the Einstein heat capacity and two-state liquid: the aluminium-rich liquid, the Al4C3 line compound at x(C) = 3/7, and graphite, reproducing the 933.47 K melting point and the Al4C3 peritectic near 2429 K. (b) Pb-Sn, a classic assessment [50] transcribed into XTDB and read by the same engine, giving the eutectic at 456 K and x(Sn) = 0.74. Two-phase fields are shaded; single-phase fields are left white. Temperatures in kelvin." title="" id="2364" name="Picture"/>
            <a:graphic>
              <a:graphicData uri="http://schemas.openxmlformats.org/drawingml/2006/picture">
                <pic:pic>
                  <pic:nvPicPr>
                    <pic:cNvPr descr="figures/fig10_xtdb.png" id="2365" name="Picture"/>
                    <pic:cNvPicPr>
                      <a:picLocks noChangeArrowheads="1" noChangeAspect="1"/>
                    </pic:cNvPicPr>
                  </pic:nvPicPr>
                  <pic:blipFill>
                    <a:blip r:embed="rId2363"/>
                    <a:stretch>
                      <a:fillRect/>
                    </a:stretch>
                  </pic:blipFill>
                  <pic:spPr bwMode="auto">
                    <a:xfrm>
                      <a:off x="0" y="0"/>
                      <a:ext cx="5334000" cy="2383276"/>
                    </a:xfrm>
                    <a:prstGeom prst="rect">
                      <a:avLst/>
                    </a:prstGeom>
                    <a:noFill/>
                    <a:ln w="9525">
                      <a:noFill/>
                      <a:headEnd/>
                      <a:tailEnd/>
                    </a:ln>
                  </pic:spPr>
                </pic:pic>
              </a:graphicData>
            </a:graphic>
          </wp:inline>
        </w:drawing>
      </w:r>
    </w:p>
    <w:p>
      <w:pPr>
        <w:pStyle w:val="ImageCaption"/>
      </w:pPr>
      <w:r>
        <w:t xml:space="preserve">Figure 10: Third-generation XTDB databases computed in the browser by the same lower-convex-hull construction as the alloy joins. (a) Al-C from the third-generation assessment of He et al. [49], with the Einstein heat capacity and two-state liquid: the aluminium-rich liquid, the Al</w:t>
      </w:r>
      <w:r>
        <w:rPr>
          <w:vertAlign w:val="subscript"/>
        </w:rPr>
        <w:t xml:space="preserve">4</w:t>
      </w:r>
      <w:r>
        <w:t xml:space="preserve">C</w:t>
      </w:r>
      <w:r>
        <w:rPr>
          <w:vertAlign w:val="subscript"/>
        </w:rPr>
        <w:t xml:space="preserve">3</w:t>
      </w:r>
      <w:r>
        <w:t xml:space="preserve"> </w:t>
      </w:r>
      <w:r>
        <w:t xml:space="preserve">line compound at x(C) = 3/7, and graphite, reproducing the 933.47 K melting point and the Al</w:t>
      </w:r>
      <w:r>
        <w:rPr>
          <w:vertAlign w:val="subscript"/>
        </w:rPr>
        <w:t xml:space="preserve">4</w:t>
      </w:r>
      <w:r>
        <w:t xml:space="preserve">C</w:t>
      </w:r>
      <w:r>
        <w:rPr>
          <w:vertAlign w:val="subscript"/>
        </w:rPr>
        <w:t xml:space="preserve">3</w:t>
      </w:r>
      <w:r>
        <w:t xml:space="preserve"> </w:t>
      </w:r>
      <w:r>
        <w:t xml:space="preserve">peritectic near 2429 K. (b) Pb-Sn, a classic assessment [50] transcribed into XTDB and read by the same engine, giving the eutectic at 456 K and x(Sn) = 0.74. Two-phase fields are shaded; single-phase fields are left white. Temperatures in kelvin.</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v0.6.0 archives the exact version described, and the 137-test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366"/>
    <w:bookmarkEnd w:id="2367"/>
    <w:bookmarkStart w:id="2368"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v0.6.0. The database files and their provenance records are in the repository’s data directory under CC BY 4.0.</w:t>
      </w:r>
    </w:p>
    <w:bookmarkEnd w:id="2368"/>
    <w:bookmarkStart w:id="2369" w:name="acknowledgements"/>
    <w:p>
      <w:pPr>
        <w:pStyle w:val="Heading2"/>
      </w:pPr>
      <w:r>
        <w:t xml:space="preserve">Acknowledgements</w:t>
      </w:r>
    </w:p>
    <w:p>
      <w:pPr>
        <w:pStyle w:val="FirstParagraph"/>
      </w:pPr>
      <w:r>
        <w:t xml:space="preserve">During the development of this software the authors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authors to its primary source before entering the database, and every reference was verified against its registry record. The authors reviewed and approved all output and take full responsibility for this article.</w:t>
      </w:r>
    </w:p>
    <w:bookmarkEnd w:id="2369"/>
    <w:bookmarkStart w:id="2370" w:name="funding-statement"/>
    <w:p>
      <w:pPr>
        <w:pStyle w:val="Heading2"/>
      </w:pPr>
      <w:r>
        <w:t xml:space="preserve">Funding statement</w:t>
      </w:r>
    </w:p>
    <w:p>
      <w:pPr>
        <w:pStyle w:val="FirstParagraph"/>
      </w:pPr>
      <w:r>
        <w:t xml:space="preserve">The development of this software received no external funding.</w:t>
      </w:r>
    </w:p>
    <w:bookmarkEnd w:id="2370"/>
    <w:bookmarkStart w:id="2371" w:name="competing-interests"/>
    <w:p>
      <w:pPr>
        <w:pStyle w:val="Heading2"/>
      </w:pPr>
      <w:r>
        <w:t xml:space="preserve">Competing interests</w:t>
      </w:r>
    </w:p>
    <w:p>
      <w:pPr>
        <w:pStyle w:val="FirstParagraph"/>
      </w:pPr>
      <w:r>
        <w:t xml:space="preserve">Both authors are affiliated with Odinzen LLC, which provides commercial thermodynamic modeling services, and declare this as a competing interest; Michael E. Bustamante founded the company. The software and database published here are released in full under open licenses, and no proprietary Odinzen assets are included.</w:t>
      </w:r>
    </w:p>
    <w:bookmarkEnd w:id="2371"/>
    <w:bookmarkStart w:id="2372"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p>
      <w:pPr>
        <w:pStyle w:val="BodyText"/>
      </w:pPr>
      <w:r>
        <w:t xml:space="preserve">[48] Chen Q, Sundman B. Modeling of thermodynamic properties for Bcc, Fcc, liquid, and amorphous iron. J Phase Equilibria. 2001 Nov;22(6):631-44. doi:10.1007/s11669-001-0027-9</w:t>
      </w:r>
    </w:p>
    <w:p>
      <w:pPr>
        <w:pStyle w:val="BodyText"/>
      </w:pPr>
      <w:r>
        <w:t xml:space="preserve">[49] He Z, Kaplan B, Mao H, Selleby M. The third generation Calphad description of Al-C including revisions of pure Al and C. Calphad. 2021 Mar;72:102250. doi:10.1016/j.calphad.2021.102250</w:t>
      </w:r>
    </w:p>
    <w:p>
      <w:pPr>
        <w:pStyle w:val="BodyText"/>
      </w:pPr>
      <w:r>
        <w:t xml:space="preserve">[50] Ngai TL, Chang YA. A thermodynamic analysis of the Pb-Sn system and the calculation of the Pb-Sn phase diagram. Calphad. 1981;5(4):267-76. doi:10.1016/0364-5916(81)90009-2</w:t>
      </w:r>
    </w:p>
    <w:bookmarkEnd w:id="2372"/>
    <w:bookmarkEnd w:id="2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22" Target="numbering.xml" /><Relationship Type="http://schemas.openxmlformats.org/officeDocument/2006/relationships/styles" Id="rId2321" Target="styles.xml" /><Relationship Type="http://schemas.openxmlformats.org/officeDocument/2006/relationships/settings" Id="rId2320" Target="settings.xml" /><Relationship Type="http://schemas.openxmlformats.org/officeDocument/2006/relationships/webSettings" Id="rId2319" Target="webSettings.xml" /><Relationship Type="http://schemas.openxmlformats.org/officeDocument/2006/relationships/fontTable" Id="rId2318" Target="fontTable.xml" /><Relationship Type="http://schemas.openxmlformats.org/officeDocument/2006/relationships/theme" Id="rId2317" Target="theme/theme1.xml" /><Relationship Type="http://schemas.openxmlformats.org/officeDocument/2006/relationships/footnotes" Id="rId2316" Target="footnotes.xml" /><Relationship Type="http://schemas.openxmlformats.org/officeDocument/2006/relationships/comments" Id="rId23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Id="rId2278" Target="media/rId2278.png" Type="http://schemas.openxmlformats.org/officeDocument/2006/relationships/image" /><Relationship Id="rId2281" Target="media/rId2281.png" Type="http://schemas.openxmlformats.org/officeDocument/2006/relationships/image" /><Relationship Id="rId2284" Target="media/rId2284.png" Type="http://schemas.openxmlformats.org/officeDocument/2006/relationships/image" /><Relationship Id="rId2299" Target="media/rId2299.png" Type="http://schemas.openxmlformats.org/officeDocument/2006/relationships/image" /><Relationship Id="rId2302" Target="media/rId2302.png" Type="http://schemas.openxmlformats.org/officeDocument/2006/relationships/image" /><Relationship Id="rId2305" Target="media/rId2305.png" Type="http://schemas.openxmlformats.org/officeDocument/2006/relationships/image" /><Relationship Id="rId2308" Target="media/rId2308.png" Type="http://schemas.openxmlformats.org/officeDocument/2006/relationships/image" /><Relationship Id="rId2311" Target="media/rId2311.png" Type="http://schemas.openxmlformats.org/officeDocument/2006/relationships/image" /><Relationship Id="rId2314" Target="media/rId2314.png" Type="http://schemas.openxmlformats.org/officeDocument/2006/relationships/image" /><Relationship Type="http://schemas.openxmlformats.org/officeDocument/2006/relationships/image" Id="rId2363" Target="media/rId2363.png" /><Relationship Type="http://schemas.openxmlformats.org/officeDocument/2006/relationships/image" Id="rId2324" Target="media/rId2324.png" /><Relationship Type="http://schemas.openxmlformats.org/officeDocument/2006/relationships/image" Id="rId2327" Target="media/rId2327.png" /><Relationship Type="http://schemas.openxmlformats.org/officeDocument/2006/relationships/image" Id="rId2330" Target="media/rId2330.png" /><Relationship Type="http://schemas.openxmlformats.org/officeDocument/2006/relationships/image" Id="rId2345" Target="media/rId2345.png" /><Relationship Type="http://schemas.openxmlformats.org/officeDocument/2006/relationships/image" Id="rId2348" Target="media/rId2348.png" /><Relationship Type="http://schemas.openxmlformats.org/officeDocument/2006/relationships/image" Id="rId2351" Target="media/rId2351.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0" Target="media/rId23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2026-09-09T17:08:56Z</dcterms:created>
  <dcterms:modified xsi:type="dcterms:W3CDTF">2026-09-09T17:08:56Z</dcterms:modified>
</cp:coreProperties>
</file>

<file path=docProps/custom.xml><?xml version="1.0" encoding="utf-8"?>
<Properties xmlns="http://schemas.openxmlformats.org/officeDocument/2006/custom-properties" xmlns:vt="http://schemas.openxmlformats.org/officeDocument/2006/docPropsVTypes"/>
</file>