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5" w:name="X1407efc73eeb14ea67b28525936ab156b42f911"/>
    <w:p>
      <w:pPr>
        <w:pStyle w:val="Heading1"/>
      </w:pPr>
      <w:r>
        <w:t xml:space="preserve">Supplementary Material S1. A primer for the experimentalist</w:t>
      </w:r>
    </w:p>
    <w:bookmarkStart w:id="2334"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2323"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2323"/>
    <w:bookmarkStart w:id="2324" w:name="the-file-names-you-will-meet"/>
    <w:p>
      <w:pPr>
        <w:pStyle w:val="Heading3"/>
      </w:pPr>
      <w:r>
        <w:t xml:space="preserve">2. The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 unified extension of them, and the field’s emerging XML successor: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keepNext/>
              <w:pStyle w:val="Compact"/>
              <w:jc w:val="left"/>
            </w:pPr>
            <w:r>
              <w:t xml:space="preserve">.utdb</w:t>
            </w:r>
          </w:p>
        </w:tc>
        <w:tc>
          <w:tcPr/>
          <w:p>
            <w:pPr>
              <w:keepNext/>
              <w:pStyle w:val="Compact"/>
              <w:jc w:val="left"/>
            </w:pPr>
            <w:r>
              <w:t xml:space="preserve">This project’s documented open extension of .tdb</w:t>
            </w:r>
          </w:p>
        </w:tc>
        <w:tc>
          <w:tcPr/>
          <w:p>
            <w:pPr>
              <w:keepNext/>
              <w:pStyle w:val="Compact"/>
              <w:jc w:val="left"/>
            </w:pPr>
            <w:r>
              <w:t xml:space="preserve">Alloys, slags, and salts together in one file</w:t>
            </w:r>
          </w:p>
        </w:tc>
      </w:tr>
      <w:tr>
        <w:trPr>
          <w:cantSplit/>
        </w:trPr>
        <w:tc>
          <w:tcPr/>
          <w:p>
            <w:pPr>
              <w:pStyle w:val="Compact"/>
              <w:jc w:val="left"/>
            </w:pPr>
            <w:r>
              <w:t xml:space="preserve">.xtdb</w:t>
            </w:r>
          </w:p>
        </w:tc>
        <w:tc>
          <w:tcPr/>
          <w:p>
            <w:pPr>
              <w:pStyle w:val="Compact"/>
              <w:jc w:val="left"/>
            </w:pPr>
            <w:r>
              <w:t xml:space="preserve">The emerging open XML standard, from the OpenCalphad and NIST circle</w:t>
            </w:r>
          </w:p>
        </w:tc>
        <w:tc>
          <w:tcPr/>
          <w:p>
            <w:pPr>
              <w:pStyle w:val="Compact"/>
              <w:jc w:val="left"/>
            </w:pPr>
            <w:r>
              <w:t xml:space="preserve">The same models, plus newer</w:t>
            </w:r>
            <w:r>
              <w:t xml:space="preserve"> </w:t>
            </w:r>
            <w:r>
              <w:t xml:space="preserve">“third-generation”</w:t>
            </w:r>
            <w:r>
              <w:t xml:space="preserve"> </w:t>
            </w:r>
            <w:r>
              <w:t xml:space="preserve">data that stays accurate all the way down to absolute zero</w:t>
            </w:r>
          </w:p>
        </w:tc>
      </w:tr>
    </w:tbl>
    <w:p>
      <w:pPr>
        <w:pStyle w:val="BodyText"/>
      </w:pPr>
      <w:r>
        <w:t xml:space="preserve">You never choose a format by hand; the page reads all four and detects which one a file is when it loads. A .dat, .tdb, or .utdb opens in the main calculator, and an .xtdb opens in the third-generation card of its own (Section 7), because it carries a more modern description of how materials behave at very low temperatures. Any of the four can be one of the built-in buttons or a file you load yourself.</w:t>
      </w:r>
    </w:p>
    <w:bookmarkEnd w:id="2324"/>
    <w:bookmarkStart w:id="2325"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2325"/>
    <w:bookmarkStart w:id="2326"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2326"/>
    <w:bookmarkStart w:id="2327"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2327"/>
    <w:bookmarkStart w:id="2328"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2328"/>
    <w:bookmarkStart w:id="2329"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(the same picker also accepts a .utdb or an .xtdb) and pick the file. A .dat, .tdb, or .utdb loads exactly like the built-in buttons and every calculator on the page switches to it; an .xtdb opens in the third-generation card described just below, read the same way. Uploaded files are temporary; they live only in the open tab and vanish on refresh, and up to three can be loaded at once, each pinned as a button whose color marks its dialect,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p>
      <w:pPr>
        <w:pStyle w:val="BodyText"/>
      </w:pPr>
      <w:r>
        <w:t xml:space="preserve">One newer format has its own home on the page. An .xtdb file (the emerging XML standard from Section 2) opens in the</w:t>
      </w:r>
      <w:r>
        <w:t xml:space="preserve"> </w:t>
      </w:r>
      <w:r>
        <w:rPr>
          <w:b/>
          <w:bCs/>
        </w:rPr>
        <w:t xml:space="preserve">third-generation</w:t>
      </w:r>
      <w:r>
        <w:t xml:space="preserve"> </w:t>
      </w:r>
      <w:r>
        <w:t xml:space="preserve">card near the bottom, which reads it and draws its phase diagram the same way, computed live in your browser. Two worked examples sit there ready to click without a file of your own: an aluminum-carbon system and a lead-tin solder alloy. What sets this format apart is that its heat-capacity description stays physically correct down to absolute zero, where the older databases were only ever fitted above room temperature; for everyday high-temperature work the two agree, and the difference matters when a calculation reaches toward cryogenic conditions.</w:t>
      </w:r>
    </w:p>
    <w:bookmarkEnd w:id="2329"/>
    <w:bookmarkStart w:id="2330"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the present work, the two unified demonstrations (aluminum recycling and steelmaking), and the two third-generation examples in the XTDB card (aluminum-carbon and lead-tin).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2330"/>
    <w:bookmarkStart w:id="2331"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also calculates ideal-gas equilibria from NASA polynomials in a gas-equilibrium card on the page, and couples that gas to a condensate (iron, its oxide, graphite) so a reducing or oxidising atmosphere shifts the balance between metal and oxide, the way a furnace gas governs a melt.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2331"/>
    <w:bookmarkStart w:id="2332"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2332"/>
    <w:bookmarkStart w:id="2333"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 / .xtdb.</w:t>
      </w:r>
      <w:r>
        <w:t xml:space="preserve"> </w:t>
      </w:r>
      <w:r>
        <w:t xml:space="preserve">Database file layouts; see Section 2. The container is ordinary text (or, for .xtdb, XML); the contents are years of measurement.</w:t>
      </w:r>
    </w:p>
    <w:p>
      <w:pPr>
        <w:pStyle w:val="Compact"/>
        <w:numPr>
          <w:ilvl w:val="0"/>
          <w:numId w:val="1006"/>
        </w:numPr>
      </w:pPr>
      <w:r>
        <w:rPr>
          <w:b/>
          <w:bCs/>
        </w:rPr>
        <w:t xml:space="preserve">Third generation.</w:t>
      </w:r>
      <w:r>
        <w:t xml:space="preserve"> </w:t>
      </w:r>
      <w:r>
        <w:t xml:space="preserve">A modern form of CALPHAD data whose heat-capacity model stays physically valid from high temperature down to absolute zero (0 K), instead of being fitted only above room temperature; carried by .xtdb files here.</w:t>
      </w:r>
    </w:p>
    <w:p>
      <w:pPr>
        <w:pStyle w:val="Compact"/>
        <w:numPr>
          <w:ilvl w:val="0"/>
          <w:numId w:val="1006"/>
        </w:numPr>
      </w:pPr>
      <w:r>
        <w:rPr>
          <w:b/>
          <w:bCs/>
        </w:rPr>
        <w:t xml:space="preserve">XTDB.</w:t>
      </w:r>
      <w:r>
        <w:t xml:space="preserve"> </w:t>
      </w:r>
      <w:r>
        <w:t xml:space="preserve">The emerging open XML successor to the TDB layout, from the OpenCalphad and NIST circle; it carries both the MQMQA model and third-generation data, and Hephaestus reads it in a dedicated card.</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2333"/>
    <w:bookmarkEnd w:id="2334"/>
    <w:bookmarkEnd w:id="23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2026-09-09T18:34:01Z</dcterms:created>
  <dcterms:modified xsi:type="dcterms:W3CDTF">2026-09-09T18:34:01Z</dcterms:modified>
</cp:coreProperties>
</file>

<file path=docProps/custom.xml><?xml version="1.0" encoding="utf-8"?>
<Properties xmlns="http://schemas.openxmlformats.org/officeDocument/2006/custom-properties" xmlns:vt="http://schemas.openxmlformats.org/officeDocument/2006/docPropsVTypes"/>
</file>