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63.png" ContentType="image/png"/>
  <Override PartName="/word/media/rId2324.png" ContentType="image/png"/>
  <Override PartName="/word/media/rId2327.png" ContentType="image/png"/>
  <Override PartName="/word/media/rId2330.png" ContentType="image/png"/>
  <Override PartName="/word/media/rId2345.png" ContentType="image/png"/>
  <Override PartName="/word/media/rId2348.png" ContentType="image/png"/>
  <Override PartName="/word/media/rId2351.png" ContentType="image/png"/>
  <Override PartName="/word/media/rId2354.png" ContentType="image/png"/>
  <Override PartName="/word/media/rId2357.png" ContentType="image/png"/>
  <Override PartName="/word/media/rId23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73"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 Gabriel Bustamante</w:t>
      </w:r>
    </w:p>
    <w:p>
      <w:pPr>
        <w:pStyle w:val="BodyText"/>
      </w:pPr>
      <w:r>
        <w:t xml:space="preserve">Odinzen LLC, Houston, TX, United States</w:t>
      </w:r>
    </w:p>
    <w:p>
      <w:pPr>
        <w:pStyle w:val="BodyText"/>
      </w:pPr>
      <w:r>
        <w:t xml:space="preserve">Corresponding author: Michael E. Bustamante (michaelbusta@odinzen.io)</w:t>
      </w:r>
    </w:p>
    <w:p>
      <w:pPr>
        <w:pStyle w:val="BodyText"/>
      </w:pPr>
      <w:r>
        <w:t xml:space="preserve">ORCID: Michael E. Bustamante, 0009-0009-9001-8151; Gabriel Bustamante, 0009-0005-3269-024X</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It reads XTDB, the community’s XML successor format, including its third-generation models, an Einstein heat capacity valid to 0 K and a two-state liquid, shown by shipped Al-C and Pb-Sn databases computed in the browser. One zero-install page calculates across all four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The same activity coupling gives the vapour a molten chloride flux fumes off, where complexing holds down the magnesium chloride.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FeO-SiO</w:t>
      </w:r>
      <w:r>
        <w:rPr>
          <w:vertAlign w:val="subscript"/>
        </w:rPr>
        <w:t xml:space="preserve">2</w:t>
      </w:r>
      <w:r>
        <w:t xml:space="preserve">, CaO-Al</w:t>
      </w:r>
      <w:r>
        <w:rPr>
          <w:vertAlign w:val="subscript"/>
        </w:rPr>
        <w:t xml:space="preserve">2</w:t>
      </w:r>
      <w:r>
        <w:t xml:space="preserve">O</w:t>
      </w:r>
      <w:r>
        <w:rPr>
          <w:vertAlign w:val="subscript"/>
        </w:rPr>
        <w:t xml:space="preserve">3</w:t>
      </w:r>
      <w:r>
        <w:t xml:space="preserve">, and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liquids, the FeO-MgO-SiO</w:t>
      </w:r>
      <w:r>
        <w:rPr>
          <w:vertAlign w:val="subscript"/>
        </w:rPr>
        <w:t xml:space="preserve">2</w:t>
      </w:r>
      <w:r>
        <w:t xml:space="preserve"> </w:t>
      </w:r>
      <w:r>
        <w:t xml:space="preserve">and cement-and-slag CaO-Al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ternaries, and a CaO-FeO-MgO-SiO</w:t>
      </w:r>
      <w:r>
        <w:rPr>
          <w:vertAlign w:val="subscript"/>
        </w:rPr>
        <w:t xml:space="preserve">2</w:t>
      </w:r>
      <w:r>
        <w:t xml:space="preserve"> </w:t>
      </w:r>
      <w:r>
        <w:t xml:space="preserve">quaternary, with olivine, orthopyroxene, clinopyroxene, and spinel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2336" w:name="overview"/>
    <w:p>
      <w:pPr>
        <w:pStyle w:val="Heading2"/>
      </w:pPr>
      <w:r>
        <w:t xml:space="preserve">(1) Overview</w:t>
      </w:r>
    </w:p>
    <w:bookmarkStart w:id="2323"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The present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This engine reads all three: it parses XTDB directly, including the third-generation models the format was built to carry, an Einstein heat capacity valid to 0 K in place of the older polynomial and a two-state description of the liquid, so the XML successor is a dialect the calculator already reads rather than a future dependency.</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unified XML schema, MQMQA and third-generation models included; read by this engine</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2323"/>
    <w:bookmarkStart w:id="2333"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database dialects (ChemSage .dat, Thermo-Calc .tdb with the Inden magnetic model, and the unified .utdb) and calculates all thermodynamics; the same core is used as a native library, from Python through cffi, and compiled to WebAssembly behind the browser application. The browser build adds a reader for the XML XTDB successor and its third-generation (Einstein heat capacity, two-state liquid) models. dbbuild writes new ChemSage files from measured data, and every energy path is validated against pycalphad." title="" id="2325" name="Picture"/>
            <a:graphic>
              <a:graphicData uri="http://schemas.openxmlformats.org/drawingml/2006/picture">
                <pic:pic>
                  <pic:nvPicPr>
                    <pic:cNvPr descr="figures/fig1_architecture.png" id="2326" name="Picture"/>
                    <pic:cNvPicPr>
                      <a:picLocks noChangeArrowheads="1" noChangeAspect="1"/>
                    </pic:cNvPicPr>
                  </pic:nvPicPr>
                  <pic:blipFill>
                    <a:blip r:embed="rId2324"/>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database dialects (ChemSage .dat, Thermo-Calc .tdb with the Inden magnetic model, and the unified .utdb) and calculates all thermodynamics; the same core is used as a native library, from Python through cffi, and compiled to WebAssembly behind the browser application. The browser build adds a reader for the XML XTDB successor and its third-generation (Einstein heat capacity, two-state liquid) models.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eight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calculated at a shared oxygen potential. A slag-gas readout closes the same loop for the solution melt: for the assessed FeO-SiO</w:t>
      </w:r>
      <w:r>
        <w:rPr>
          <w:vertAlign w:val="subscript"/>
        </w:rPr>
        <w:t xml:space="preserve">2</w:t>
      </w:r>
      <w:r>
        <w:t xml:space="preserve"> </w:t>
      </w:r>
      <w:r>
        <w:t xml:space="preserve">slag held at iron saturation it shows the FeO activity and the furnace CO</w:t>
      </w:r>
      <w:r>
        <w:rPr>
          <w:vertAlign w:val="subscript"/>
        </w:rPr>
        <w:t xml:space="preserve">2</w:t>
      </w:r>
      <w:r>
        <w:t xml:space="preserve">/CO ratio and oxygen pressure the melt equilibrates with, so adding silica lowers the activity and drives the equilibrium gas more reducing. The same readout switches with the loaded chemistry: for a molten chloride flux it shows the fume, each salt’s partial pressure taken as its engine activity times its measured pure-component vapour pressure, so that magnesium chloride, held in the melt by chlorocomplexing, contributes only a few percent of the vapour despite being a fifth of the flux.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about three seconds). Tapping a composition reads its stable phases and pins it to a comparison list; hovering previews on desktop." title="" id="2328" name="Picture"/>
            <a:graphic>
              <a:graphicData uri="http://schemas.openxmlformats.org/drawingml/2006/picture">
                <pic:pic>
                  <pic:nvPicPr>
                    <pic:cNvPr descr="figures/fig2_browser_app.png" id="2329" name="Picture"/>
                    <pic:cNvPicPr>
                      <a:picLocks noChangeArrowheads="1" noChangeAspect="1"/>
                    </pic:cNvPicPr>
                  </pic:nvPicPr>
                  <pic:blipFill>
                    <a:blip r:embed="rId2327"/>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about three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[24,25,26].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library also ships the calcium-aluminosilicate family that anchors cement and blast-furnace slag chemistry: the CaO-Al</w:t>
      </w:r>
      <w:r>
        <w:rPr>
          <w:vertAlign w:val="subscript"/>
        </w:rPr>
        <w:t xml:space="preserve">2</w:t>
      </w:r>
      <w:r>
        <w:t xml:space="preserve">O</w:t>
      </w:r>
      <w:r>
        <w:rPr>
          <w:vertAlign w:val="subscript"/>
        </w:rPr>
        <w:t xml:space="preserve">3</w:t>
      </w:r>
      <w:r>
        <w:t xml:space="preserve"> </w:t>
      </w:r>
      <w:r>
        <w:t xml:space="preserve">and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binaries and the CaO-Al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ternary, the ternary carrying one fitted additional-constituent term that brings its predicted silica activities to within a root-mean-square 0.48 in ln a of forty-five Knudsen-effusion measurements [21,35]. A CaO-FeO-MgO-SiO</w:t>
      </w:r>
      <w:r>
        <w:rPr>
          <w:vertAlign w:val="subscript"/>
        </w:rPr>
        <w:t xml:space="preserve">2</w:t>
      </w:r>
      <w:r>
        <w:t xml:space="preserve"> </w:t>
      </w:r>
      <w:r>
        <w:t xml:space="preserve">quaternary combines the four assessed silica binaries by the Muggianu extension, reducing to each exactly at its edge with the melt interior left as a stated prediction. Two further compound-energy solid solutions, clinopyroxene (diopside-hedenbergite) and spinel (spinel-hercynite), extend the crystallization fields; both ship with ideal mixing, the excess left unfitted where no open calorimetry constrains it and machine-learned potentials disagree even in sign, each such judgment recorded in the provenance.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[36], measured mixing calorimetry [37], and the measured eutectic, liquidus, and solvus record of the halide literature [38], and loadable in the browser application with one click. The nuclear community’s MSTDB-TC [39]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 title="" id="2331" name="Picture"/>
            <a:graphic>
              <a:graphicData uri="http://schemas.openxmlformats.org/drawingml/2006/picture">
                <pic:pic>
                  <pic:nvPicPr>
                    <pic:cNvPr descr="figures/fig3_ternary.png" id="2332" name="Picture"/>
                    <pic:cNvPicPr>
                      <a:picLocks noChangeArrowheads="1" noChangeAspect="1"/>
                    </pic:cNvPicPr>
                  </pic:nvPicPr>
                  <pic:blipFill>
                    <a:blip r:embed="rId2330"/>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K; calorimetry matched; stable two-liquid field about 340 K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kelvin</w:t>
            </w:r>
          </w:p>
        </w:tc>
      </w:tr>
      <w:tr>
        <w:trPr>
          <w:cantSplit/>
        </w:trPr>
        <w:tc>
          <w:tcPr/>
          <w:p>
            <w:pPr>
              <w:keepNext/>
              <w:pStyle w:val="Compact"/>
              <w:jc w:val="left"/>
            </w:pPr>
            <w:r>
              <w:t xml:space="preserve">FeO-MgO-SiO</w:t>
            </w:r>
            <w:r>
              <w:rPr>
                <w:vertAlign w:val="subscript"/>
              </w:rPr>
              <w:t xml:space="preserve">2</w:t>
            </w:r>
          </w:p>
        </w:tc>
        <w:tc>
          <w:tcPr/>
          <w:p>
            <w:pPr>
              <w:keepNext/>
              <w:pStyle w:val="Compact"/>
              <w:jc w:val="left"/>
            </w:pPr>
            <w:r>
              <w:t xml:space="preserve">binaries combined; no ternary term</w:t>
            </w:r>
          </w:p>
        </w:tc>
        <w:tc>
          <w:tcPr/>
          <w:p>
            <w:pPr>
              <w:keepNext/>
              <w:pStyle w:val="Compact"/>
              <w:jc w:val="left"/>
            </w:pPr>
            <w:r>
              <w:t xml:space="preserve">assembled from the binaries with olivine and orthopyroxene solutions [19,33]</w:t>
            </w:r>
          </w:p>
        </w:tc>
        <w:tc>
          <w:tcPr/>
          <w:p>
            <w:pPr>
              <w:keepNext/>
              <w:pStyle w:val="Compact"/>
              <w:jc w:val="left"/>
            </w:pPr>
            <w:r>
              <w:t xml:space="preserve">measured liquidus-surface topology [24]; stable phase sets match pycalphad at 15 of 16 points</w:t>
            </w:r>
          </w:p>
        </w:tc>
      </w:tr>
      <w:tr>
        <w:trPr>
          <w:cantSplit/>
        </w:trPr>
        <w:tc>
          <w:tcPr/>
          <w:p>
            <w:pPr>
              <w:keepNext/>
              <w:pStyle w:val="Compact"/>
              <w:jc w:val="left"/>
            </w:pPr>
            <w:r>
              <w:t xml:space="preserve">CaO-Al</w:t>
            </w:r>
            <w:r>
              <w:rPr>
                <w:vertAlign w:val="subscript"/>
              </w:rPr>
              <w:t xml:space="preserve">2</w:t>
            </w:r>
            <w:r>
              <w:t xml:space="preserve">O</w:t>
            </w:r>
            <w:r>
              <w:rPr>
                <w:vertAlign w:val="subscript"/>
              </w:rPr>
              <w:t xml:space="preserve">3</w:t>
            </w:r>
          </w:p>
        </w:tc>
        <w:tc>
          <w:tcPr/>
          <w:p>
            <w:pPr>
              <w:keepNext/>
              <w:pStyle w:val="Compact"/>
              <w:jc w:val="left"/>
            </w:pPr>
            <w:r>
              <w:t xml:space="preserve">(-156581 + 2.16 T) + 133468 χ</w:t>
            </w:r>
            <w:r>
              <w:rPr>
                <w:vertAlign w:val="subscript"/>
              </w:rPr>
              <w:t xml:space="preserve">Ca</w:t>
            </w:r>
          </w:p>
        </w:tc>
        <w:tc>
          <w:tcPr/>
          <w:p>
            <w:pPr>
              <w:keepNext/>
              <w:pStyle w:val="Compact"/>
              <w:jc w:val="left"/>
            </w:pPr>
            <w:r>
              <w:t xml:space="preserve">six melting invariants [40]</w:t>
            </w:r>
          </w:p>
        </w:tc>
        <w:tc>
          <w:tcPr/>
          <w:p>
            <w:pPr>
              <w:keepNext/>
              <w:pStyle w:val="Compact"/>
              <w:jc w:val="left"/>
            </w:pPr>
            <w:r>
              <w:t xml:space="preserve">invariants within about ±90 K (screening quality; liquid activities not yet constrained)</w:t>
            </w:r>
          </w:p>
        </w:tc>
      </w:tr>
      <w:tr>
        <w:trPr>
          <w:cantSplit/>
        </w:trPr>
        <w:tc>
          <w:tcPr/>
          <w:p>
            <w:pPr>
              <w:keepNext/>
              <w:pStyle w:val="Compact"/>
              <w:jc w:val="left"/>
            </w:pPr>
            <w:r>
              <w:t xml:space="preserve">Al</w:t>
            </w:r>
            <w:r>
              <w:rPr>
                <w:vertAlign w:val="subscript"/>
              </w:rPr>
              <w:t xml:space="preserve">2</w:t>
            </w:r>
            <w:r>
              <w:t xml:space="preserve">O</w:t>
            </w:r>
            <w:r>
              <w:rPr>
                <w:vertAlign w:val="subscript"/>
              </w:rPr>
              <w:t xml:space="preserve">3</w:t>
            </w:r>
            <w:r>
              <w:t xml:space="preserve">-SiO</w:t>
            </w:r>
            <w:r>
              <w:rPr>
                <w:vertAlign w:val="subscript"/>
              </w:rPr>
              <w:t xml:space="preserve">2</w:t>
            </w:r>
          </w:p>
        </w:tc>
        <w:tc>
          <w:tcPr/>
          <w:p>
            <w:pPr>
              <w:keepNext/>
              <w:pStyle w:val="Compact"/>
              <w:jc w:val="left"/>
            </w:pPr>
            <w:r>
              <w:t xml:space="preserve">9317 + 33855 χ</w:t>
            </w:r>
            <w:r>
              <w:rPr>
                <w:vertAlign w:val="subscript"/>
              </w:rPr>
              <w:t xml:space="preserve">Si</w:t>
            </w:r>
            <w:r>
              <w:rPr>
                <w:vertAlign w:val="superscript"/>
              </w:rPr>
              <w:t xml:space="preserve">5</w:t>
            </w:r>
          </w:p>
        </w:tc>
        <w:tc>
          <w:tcPr/>
          <w:p>
            <w:pPr>
              <w:keepNext/>
              <w:pStyle w:val="Compact"/>
              <w:jc w:val="left"/>
            </w:pPr>
            <w:r>
              <w:t xml:space="preserve">the cristobalite-mullite eutectic [40]</w:t>
            </w:r>
          </w:p>
        </w:tc>
        <w:tc>
          <w:tcPr/>
          <w:p>
            <w:pPr>
              <w:keepNext/>
              <w:pStyle w:val="Compact"/>
              <w:jc w:val="left"/>
            </w:pPr>
            <w:r>
              <w:t xml:space="preserve">eutectic reproduced (1883 K, x</w:t>
            </w:r>
            <w:r>
              <w:rPr>
                <w:vertAlign w:val="subscript"/>
              </w:rPr>
              <w:t xml:space="preserve">AlO1.5</w:t>
            </w:r>
            <w:r>
              <w:t xml:space="preserve"> </w:t>
            </w:r>
            <w:r>
              <w:t xml:space="preserve">= 0.150); the alumina-rich mullite liquidus is the weak flank</w:t>
            </w:r>
          </w:p>
        </w:tc>
      </w:tr>
      <w:tr>
        <w:trPr>
          <w:cantSplit/>
        </w:trPr>
        <w:tc>
          <w:tcPr/>
          <w:p>
            <w:pPr>
              <w:keepNext/>
              <w:pStyle w:val="Compact"/>
              <w:jc w:val="left"/>
            </w:pPr>
            <w:r>
              <w:t xml:space="preserve">CaO-Al</w:t>
            </w:r>
            <w:r>
              <w:rPr>
                <w:vertAlign w:val="subscript"/>
              </w:rPr>
              <w:t xml:space="preserve">2</w:t>
            </w:r>
            <w:r>
              <w:t xml:space="preserve">O</w:t>
            </w:r>
            <w:r>
              <w:rPr>
                <w:vertAlign w:val="subscript"/>
              </w:rPr>
              <w:t xml:space="preserve">3</w:t>
            </w:r>
            <w:r>
              <w:t xml:space="preserve">-SiO</w:t>
            </w:r>
            <w:r>
              <w:rPr>
                <w:vertAlign w:val="subscript"/>
              </w:rPr>
              <w:t xml:space="preserve">2</w:t>
            </w:r>
          </w:p>
        </w:tc>
        <w:tc>
          <w:tcPr/>
          <w:p>
            <w:pPr>
              <w:keepNext/>
              <w:pStyle w:val="Compact"/>
              <w:jc w:val="left"/>
            </w:pPr>
            <w:r>
              <w:t xml:space="preserve">binaries combined, plus one ternary term (AlO</w:t>
            </w:r>
            <w:r>
              <w:rPr>
                <w:vertAlign w:val="subscript"/>
              </w:rPr>
              <w:t xml:space="preserve">1.5</w:t>
            </w:r>
            <w:r>
              <w:t xml:space="preserve"> </w:t>
            </w:r>
            <w:r>
              <w:t xml:space="preserve">into the CaO-SiO</w:t>
            </w:r>
            <w:r>
              <w:rPr>
                <w:vertAlign w:val="subscript"/>
              </w:rPr>
              <w:t xml:space="preserve">2</w:t>
            </w:r>
            <w:r>
              <w:t xml:space="preserve"> </w:t>
            </w:r>
            <w:r>
              <w:t xml:space="preserve">quadruplet, L = -110000)</w:t>
            </w:r>
          </w:p>
        </w:tc>
        <w:tc>
          <w:tcPr/>
          <w:p>
            <w:pPr>
              <w:keepNext/>
              <w:pStyle w:val="Compact"/>
              <w:jc w:val="left"/>
            </w:pPr>
            <w:r>
              <w:t xml:space="preserve">45 KEMS silica activities [21,35]</w:t>
            </w:r>
          </w:p>
        </w:tc>
        <w:tc>
          <w:tcPr/>
          <w:p>
            <w:pPr>
              <w:keepNext/>
              <w:pStyle w:val="Compact"/>
              <w:jc w:val="left"/>
            </w:pPr>
            <w:r>
              <w:t xml:space="preserve">RMS ln a 0.48 (basic corner) and 0.46 (silica-rich); ternary liquidus not yet mapped</w:t>
            </w:r>
          </w:p>
        </w:tc>
      </w:tr>
      <w:tr>
        <w:trPr>
          <w:cantSplit/>
        </w:trPr>
        <w:tc>
          <w:tcPr/>
          <w:p>
            <w:pPr>
              <w:pStyle w:val="Compact"/>
              <w:jc w:val="left"/>
            </w:pPr>
            <w:r>
              <w:t xml:space="preserve">CaO-FeO-MgO-SiO</w:t>
            </w:r>
            <w:r>
              <w:rPr>
                <w:vertAlign w:val="subscript"/>
              </w:rPr>
              <w:t xml:space="preserve">2</w:t>
            </w:r>
          </w:p>
        </w:tc>
        <w:tc>
          <w:tcPr/>
          <w:p>
            <w:pPr>
              <w:pStyle w:val="Compact"/>
              <w:jc w:val="left"/>
            </w:pPr>
            <w:r>
              <w:t xml:space="preserve">four silica binaries combined; basic edges ideal; no quaternary term</w:t>
            </w:r>
          </w:p>
        </w:tc>
        <w:tc>
          <w:tcPr/>
          <w:p>
            <w:pPr>
              <w:pStyle w:val="Compact"/>
              <w:jc w:val="left"/>
            </w:pPr>
            <w:r>
              <w:t xml:space="preserve">assembled by the Muggianu extension</w:t>
            </w:r>
          </w:p>
        </w:tc>
        <w:tc>
          <w:tcPr/>
          <w:p>
            <w:pPr>
              <w:pStyle w:val="Compact"/>
              <w:jc w:val="left"/>
            </w:pPr>
            <w:r>
              <w:t xml:space="preserve">reduces to each binary exactly at its edge; the melt interior is a prediction, and the ideal basic edges a documented next step</w:t>
            </w:r>
          </w:p>
        </w:tc>
      </w:tr>
    </w:tbl>
    <w:bookmarkEnd w:id="2333"/>
    <w:bookmarkStart w:id="2334"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Because a liquidus is set by the Gibbs energy of the liquid minus that of the coexisting solid, every boundary-setting phase carries its own assessed description here, the terminal oxides and intermediate compounds from the evaluated tables and solution calorimetry and the olivine and orthopyroxene solutions from calorimetric mixing parameters, rather than being frozen as pure elements; the liquid excess is fitted against those real solid descriptions, so it is not left to absorb a missing solid contribution, and the fitted interaction stays physically transferable.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2334"/>
    <w:bookmarkStart w:id="2335"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142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[41];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[42]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keepNext/>
              <w:pStyle w:val="Compact"/>
              <w:jc w:val="left"/>
            </w:pPr>
            <w:r>
              <w:t xml:space="preserve">Gas-slag coupling (iron-saturated)</w:t>
            </w:r>
          </w:p>
        </w:tc>
        <w:tc>
          <w:tcPr/>
          <w:p>
            <w:pPr>
              <w:keepNext/>
              <w:pStyle w:val="Compact"/>
              <w:jc w:val="left"/>
            </w:pPr>
            <w:r>
              <w:t xml:space="preserve">gas + MQMQA slag through the FeO activity; equilibrium CO</w:t>
            </w:r>
            <w:r>
              <w:rPr>
                <w:vertAlign w:val="subscript"/>
              </w:rPr>
              <w:t xml:space="preserve">2</w:t>
            </w:r>
            <w:r>
              <w:t xml:space="preserve">/CO vs slag composition</w:t>
            </w:r>
          </w:p>
        </w:tc>
        <w:tc>
          <w:tcPr/>
          <w:p>
            <w:pPr>
              <w:keepNext/>
              <w:pStyle w:val="Compact"/>
              <w:jc w:val="left"/>
            </w:pPr>
            <w:r>
              <w:t xml:space="preserve">pure-FeO limit within 1% of the Cantera Fe/FeO buffer; slag activity matches the fitted iron-saturated data</w:t>
            </w:r>
          </w:p>
        </w:tc>
      </w:tr>
      <w:tr>
        <w:trPr>
          <w:cantSplit/>
        </w:trPr>
        <w:tc>
          <w:tcPr/>
          <w:p>
            <w:pPr>
              <w:pStyle w:val="Compact"/>
              <w:jc w:val="left"/>
            </w:pPr>
            <w:r>
              <w:t xml:space="preserve">Gas-flux coupling (chloride fume)</w:t>
            </w:r>
          </w:p>
        </w:tc>
        <w:tc>
          <w:tcPr/>
          <w:p>
            <w:pPr>
              <w:pStyle w:val="Compact"/>
              <w:jc w:val="left"/>
            </w:pPr>
            <w:r>
              <w:t xml:space="preserve">gas + MQMQA salt through component activities; fume partial pressures p</w:t>
            </w:r>
            <w:r>
              <w:rPr>
                <w:vertAlign w:val="subscript"/>
              </w:rPr>
              <w:t xml:space="preserve">i</w:t>
            </w:r>
            <w:r>
              <w:t xml:space="preserve"> </w:t>
            </w:r>
            <w:r>
              <w:t xml:space="preserve">= a</w:t>
            </w:r>
            <w:r>
              <w:rPr>
                <w:vertAlign w:val="subscript"/>
              </w:rPr>
              <w:t xml:space="preserve">i</w:t>
            </w:r>
            <w:r>
              <w:t xml:space="preserve"> </w:t>
            </w:r>
            <w:r>
              <w:t xml:space="preserve">p</w:t>
            </w:r>
            <w:r>
              <w:rPr>
                <w:vertAlign w:val="subscript"/>
              </w:rPr>
              <w:t xml:space="preserve">i</w:t>
            </w:r>
            <w:r>
              <w:rPr>
                <w:vertAlign w:val="superscript"/>
              </w:rPr>
              <w:t xml:space="preserve">o</w:t>
            </w:r>
            <w:r>
              <w:t xml:space="preserve"> </w:t>
            </w:r>
            <w:r>
              <w:t xml:space="preserve">vs temperature</w:t>
            </w:r>
          </w:p>
        </w:tc>
        <w:tc>
          <w:tcPr/>
          <w:p>
            <w:pPr>
              <w:pStyle w:val="Compact"/>
              <w:jc w:val="left"/>
            </w:pPr>
            <w:r>
              <w:t xml:space="preserve">pure limit gives unit activity to five figures; NaCl-KCl binary reproduces the measured near-ideal negative deviation; pure-component vapour pressures reproduce the measured boiling points</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kelvin of measurement, assessed MgO-SiO</w:t>
      </w:r>
      <w:r>
        <w:rPr>
          <w:vertAlign w:val="subscript"/>
        </w:rPr>
        <w:t xml:space="preserve">2</w:t>
      </w:r>
      <w:r>
        <w:t xml:space="preserve"> </w:t>
      </w:r>
      <w:r>
        <w:t xml:space="preserve">invariants sit within about 40 K, and the ternary liquidus projection reproduces the measured field topology [24]. Development practice is plain: the repository is version controlled with tagged releases (v0.1.0 through the v0.6.0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2335"/>
    <w:bookmarkEnd w:id="2336"/>
    <w:bookmarkStart w:id="2344" w:name="availability"/>
    <w:p>
      <w:pPr>
        <w:pStyle w:val="Heading2"/>
      </w:pPr>
      <w:r>
        <w:t xml:space="preserve">(2) Availability</w:t>
      </w:r>
    </w:p>
    <w:bookmarkStart w:id="2337"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2337"/>
    <w:bookmarkStart w:id="2338"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2338"/>
    <w:bookmarkStart w:id="2339"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2339"/>
    <w:bookmarkStart w:id="2340"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2340"/>
    <w:bookmarkStart w:id="2341" w:name="list-of-contributors"/>
    <w:p>
      <w:pPr>
        <w:pStyle w:val="Heading3"/>
      </w:pPr>
      <w:r>
        <w:t xml:space="preserve">List of contributors</w:t>
      </w:r>
    </w:p>
    <w:p>
      <w:pPr>
        <w:pStyle w:val="FirstParagraph"/>
      </w:pPr>
      <w:r>
        <w:t xml:space="preserve">Michael E. Bustamante (design, implementation, validation, data curation, writing - original draft). Gabriel Bustamante (software, software validation, writing - review and editing).</w:t>
      </w:r>
    </w:p>
    <w:bookmarkEnd w:id="2341"/>
    <w:bookmarkStart w:id="2342"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https://github.com/odinzen/hephaestus-mqmqa-public/releases/tag/v0.6.0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v0.6.0</w:t>
      </w:r>
    </w:p>
    <w:p>
      <w:pPr>
        <w:pStyle w:val="Compact"/>
        <w:numPr>
          <w:ilvl w:val="0"/>
          <w:numId w:val="1001"/>
        </w:numPr>
      </w:pPr>
      <w:r>
        <w:t xml:space="preserve">Date published: 2026-09-09</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2026-09-09</w:t>
      </w:r>
    </w:p>
    <w:bookmarkEnd w:id="2342"/>
    <w:bookmarkStart w:id="2343" w:name="language"/>
    <w:p>
      <w:pPr>
        <w:pStyle w:val="Heading3"/>
      </w:pPr>
      <w:r>
        <w:t xml:space="preserve">Language</w:t>
      </w:r>
    </w:p>
    <w:p>
      <w:pPr>
        <w:pStyle w:val="FirstParagraph"/>
      </w:pPr>
      <w:r>
        <w:t xml:space="preserve">English.</w:t>
      </w:r>
    </w:p>
    <w:bookmarkEnd w:id="2343"/>
    <w:bookmarkEnd w:id="2344"/>
    <w:bookmarkStart w:id="2367"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The same core also exposes a thermodynamic application interface shaped like OpenCalphad’s OCASI (the de-facto embedding standard, descended from Thermo-Calc’s TQ), written clean-room from its documented semantics, so software built to drive OpenCalphad can bind this engine instead and run where the GPL Fortran reference cannot, in the browser and inside permissively or closed-licensed products; the interface is checked against pycalphad in the suite.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2366"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2346" name="Picture"/>
            <a:graphic>
              <a:graphicData uri="http://schemas.openxmlformats.org/drawingml/2006/picture">
                <pic:pic>
                  <pic:nvPicPr>
                    <pic:cNvPr descr="figures/fig4_salt_example.png" id="2347" name="Picture"/>
                    <pic:cNvPicPr>
                      <a:picLocks noChangeArrowheads="1" noChangeAspect="1"/>
                    </pic:cNvPicPr>
                  </pic:nvPicPr>
                  <pic:blipFill>
                    <a:blip r:embed="rId2345"/>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[41] (Figure 5). The shipped AlZn.tdb is itself an openly licensed transcription of that published assessment on the Scientific Group Thermodata Europe (SGTE) unary functions [43],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2349" name="Picture"/>
            <a:graphic>
              <a:graphicData uri="http://schemas.openxmlformats.org/drawingml/2006/picture">
                <pic:pic>
                  <pic:nvPicPr>
                    <pic:cNvPr descr="figures/fig5_alloy_example.png" id="2350" name="Picture"/>
                    <pic:cNvPicPr>
                      <a:picLocks noChangeArrowheads="1" noChangeAspect="1"/>
                    </pic:cNvPicPr>
                  </pic:nvPicPr>
                  <pic:blipFill>
                    <a:blip r:embed="rId2348"/>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[44] and GRI-Mech [45], and solves ideal-gas equilibrium at fixed temperature and pressure by the element-potential method, validated against Cantera [42]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salt side of the same coupling is the fume over a molten chloride flux (Figure 8): each salt evaporates at its engine activity times its measured pure-component vapour pressure, so magnesium chloride, a fifth of the NaCl-KCl-MgCl2 flux, is only a few percent of the fume, because chlorocomplexing holds its activity far below its mole fraction. The engine’s validated activities are what separate that fume from a Raoultian estimate. The same engine also carries parameter uncertainty to the diagram. Refitting the Al-Zn liquid and face-centred-cubic excess parameters against the measured liquid enthalpy of mixing and the assessed phase boundaries [41,46,47] by Markov-chain Monte Carlo, and propagating the posterior through the browser calculation, produces the confidence band of Figure 9. Three excess coefficients were sampled, the liquid enthalpy and its temperature term and the face-centred-cubic enthalpy, by an ensemble of eighteen walkers over 1500 steps under ESPEI’s default equal dataset weighting, discarding the first half as burn-in; the walker-mean chains are stationary and well mixed (Gelman-Rubin R-hat at most 1.04), the effective sample size is of order 400, and no pair of parameters correlates above about 0.65. Because only these three excess terms are varied while the SGTE unary functions and the phases not being refitted are held at their assessed values, the band is the parametric posterior within the adopted model, not a total thermodynamic uncertainty. Read that way it is still informative: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The successor is not left to the future: the engine reads XTDB directly, and with it the third-generation models the format standardises. In place of the polynomial heat capacity of the classic databases, the third-generation description uses an Einstein term valid to 0 K, G</w:t>
      </w:r>
      <w:r>
        <w:rPr>
          <w:vertAlign w:val="subscript"/>
        </w:rPr>
        <w:t xml:space="preserve">E</w:t>
      </w:r>
      <w:r>
        <w:t xml:space="preserve">(θ) = 1.5 R θ + 3 R T ln(1 - exp(-θ/T)) for one vibrational mode, with the composition-dependent Einstein temperature carried by the format’s LNTH parameter and weighted by the atom count of the formula unit so a compound recovers its full 3R-per-atom heat capacity; the liquid adds the two-state contribution -R T ln(1 + exp(-ΔG</w:t>
      </w:r>
      <w:r>
        <w:rPr>
          <w:vertAlign w:val="subscript"/>
        </w:rPr>
        <w:t xml:space="preserve">d</w:t>
      </w:r>
      <w:r>
        <w:t xml:space="preserve">/RT)) [48]. The engine assembles these energies and computes the binary phase diagram in the browser by the same lower-convex-hull common-tangent construction used for the alloy joins (Figure 10). Two databases ship as worked examples: the third-generation Al-C assessment of He et al. [49], which reproduces the aluminium melting point at 933.47 K and the Al</w:t>
      </w:r>
      <w:r>
        <w:rPr>
          <w:vertAlign w:val="subscript"/>
        </w:rPr>
        <w:t xml:space="preserve">4</w:t>
      </w:r>
      <w:r>
        <w:t xml:space="preserve">C</w:t>
      </w:r>
      <w:r>
        <w:rPr>
          <w:vertAlign w:val="subscript"/>
        </w:rPr>
        <w:t xml:space="preserve">3</w:t>
      </w:r>
      <w:r>
        <w:t xml:space="preserve"> </w:t>
      </w:r>
      <w:r>
        <w:t xml:space="preserve">peritectic near 2429 K, and a classic Pb-Sn assessment [50] carried through the same reader, giving the eutectic at 456 K and x(Sn) = 0.74. The reader is validated against an independent evaluator to below 10</w:t>
      </w:r>
      <w:r>
        <w:rPr>
          <w:vertAlign w:val="superscript"/>
        </w:rPr>
        <w:t xml:space="preserve">-6</w:t>
      </w:r>
      <w:r>
        <w:t xml:space="preserve"> </w:t>
      </w:r>
      <w:r>
        <w:t xml:space="preserve">J per mole of atoms across the Einstein, two-state, and excess terms.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2352" name="Picture"/>
            <a:graphic>
              <a:graphicData uri="http://schemas.openxmlformats.org/drawingml/2006/picture">
                <pic:pic>
                  <pic:nvPicPr>
                    <pic:cNvPr descr="figures/fig6_utdb_steel.png" id="2353" name="Picture"/>
                    <pic:cNvPicPr>
                      <a:picLocks noChangeArrowheads="1" noChangeAspect="1"/>
                    </pic:cNvPicPr>
                  </pic:nvPicPr>
                  <pic:blipFill>
                    <a:blip r:embed="rId2351"/>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2355" name="Picture"/>
            <a:graphic>
              <a:graphicData uri="http://schemas.openxmlformats.org/drawingml/2006/picture">
                <pic:pic>
                  <pic:nvPicPr>
                    <pic:cNvPr descr="figures/fig7_gas_steel.png" id="2356" name="Picture"/>
                    <pic:cNvPicPr>
                      <a:picLocks noChangeArrowheads="1" noChangeAspect="1"/>
                    </pic:cNvPicPr>
                  </pic:nvPicPr>
                  <pic:blipFill>
                    <a:blip r:embed="rId2354"/>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5334000" cy="2319130"/>
            <wp:effectExtent b="0" l="0" r="0" t="0"/>
            <wp:docPr descr="Figure 8: The gas-flux coupling as a molten-salt worked example, the fume over a NaCl-KCl-MgCl2 = 40/40/20 mol% flux. Each salt’s partial pressure is its engine activity times its measured pure-component vapour pressure (NaCl and KCl from NIST Antoine fits, MgCl2 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 title="" id="2358" name="Picture"/>
            <a:graphic>
              <a:graphicData uri="http://schemas.openxmlformats.org/drawingml/2006/picture">
                <pic:pic>
                  <pic:nvPicPr>
                    <pic:cNvPr descr="figures/fig8_gas_flux.png" id="2359" name="Picture"/>
                    <pic:cNvPicPr>
                      <a:picLocks noChangeArrowheads="1" noChangeAspect="1"/>
                    </pic:cNvPicPr>
                  </pic:nvPicPr>
                  <pic:blipFill>
                    <a:blip r:embed="rId2357"/>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8: The gas-flux coupling as a molten-salt worked example, the fume over a NaCl-KCl-MgCl</w:t>
      </w:r>
      <w:r>
        <w:rPr>
          <w:vertAlign w:val="subscript"/>
        </w:rPr>
        <w:t xml:space="preserve">2</w:t>
      </w:r>
      <w:r>
        <w:t xml:space="preserve"> </w:t>
      </w:r>
      <w:r>
        <w:t xml:space="preserve">= 40/40/20 mol% flux. Each salt’s partial pressure is its engine activity times its measured pure-component vapour pressure (NaCl and KCl from NIST Antoine fits, MgCl</w:t>
      </w:r>
      <w:r>
        <w:rPr>
          <w:vertAlign w:val="subscript"/>
        </w:rPr>
        <w:t xml:space="preserve">2</w:t>
      </w:r>
      <w:r>
        <w:t xml:space="preserve"> </w:t>
      </w:r>
      <w:r>
        <w:t xml:space="preserve">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w:t>
      </w:r>
    </w:p>
    <w:p>
      <w:pPr>
        <w:pStyle w:val="CaptionedFigure"/>
      </w:pPr>
      <w:r>
        <w:drawing>
          <wp:inline>
            <wp:extent cx="4572000" cy="3556000"/>
            <wp:effectExtent b="0" l="0" r="0" t="0"/>
            <wp:docPr descr="Figure 9: Al-Zn phase diagram with ESPEI parameter uncertainty. The liquid and face-centred-cubic (fcc) excess parameters were refit by Markov-chain Monte Carlo to the measured liquid enthalpy of mixing (Debski et al., digitized from Dinsdale et al. [46]) and the assessed phase boundaries (Massalski [47]; Mey [41]),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7] (x(Zn) = 0.887, 654 K)." title="" id="2361" name="Picture"/>
            <a:graphic>
              <a:graphicData uri="http://schemas.openxmlformats.org/drawingml/2006/picture">
                <pic:pic>
                  <pic:nvPicPr>
                    <pic:cNvPr descr="figures/fig9_uq_alzn.png" id="2362" name="Picture"/>
                    <pic:cNvPicPr>
                      <a:picLocks noChangeArrowheads="1" noChangeAspect="1"/>
                    </pic:cNvPicPr>
                  </pic:nvPicPr>
                  <pic:blipFill>
                    <a:blip r:embed="rId2360"/>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9: Al-Zn phase diagram with ESPEI parameter uncertainty. The liquid and face-centred-cubic (fcc) excess parameters were refit by Markov-chain Monte Carlo to the measured liquid enthalpy of mixing (Debski et al., digitized from Dinsdale et al. [46]) and the assessed phase boundaries (Massalski [47]; Mey [41]),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[47] (x(Zn) = 0.887, 654 K).</w:t>
      </w:r>
    </w:p>
    <w:p>
      <w:pPr>
        <w:pStyle w:val="CaptionedFigure"/>
      </w:pPr>
      <w:r>
        <w:drawing>
          <wp:inline>
            <wp:extent cx="5334000" cy="2383276"/>
            <wp:effectExtent b="0" l="0" r="0" t="0"/>
            <wp:docPr descr="Figure 10: Third-generation XTDB databases computed in the browser by the same lower-convex-hull construction as the alloy joins. (a) Al-C from the third-generation assessment of He et al. [49], with the Einstein heat capacity and two-state liquid: the aluminium-rich liquid, the Al4C3 line compound at x(C) = 3/7, and graphite, reproducing the 933.47 K melting point and the Al4C3 peritectic near 2429 K. (b) Pb-Sn, a classic assessment [50] transcribed into XTDB and read by the same engine, giving the eutectic at 456 K and x(Sn) = 0.74. Two-phase fields are shaded; single-phase fields are left white. Temperatures in kelvin." title="" id="2364" name="Picture"/>
            <a:graphic>
              <a:graphicData uri="http://schemas.openxmlformats.org/drawingml/2006/picture">
                <pic:pic>
                  <pic:nvPicPr>
                    <pic:cNvPr descr="figures/fig10_xtdb.png" id="2365" name="Picture"/>
                    <pic:cNvPicPr>
                      <a:picLocks noChangeArrowheads="1" noChangeAspect="1"/>
                    </pic:cNvPicPr>
                  </pic:nvPicPr>
                  <pic:blipFill>
                    <a:blip r:embed="rId2363"/>
                    <a:stretch>
                      <a:fillRect/>
                    </a:stretch>
                  </pic:blipFill>
                  <pic:spPr bwMode="auto">
                    <a:xfrm>
                      <a:off x="0" y="0"/>
                      <a:ext cx="5334000" cy="2383276"/>
                    </a:xfrm>
                    <a:prstGeom prst="rect">
                      <a:avLst/>
                    </a:prstGeom>
                    <a:noFill/>
                    <a:ln w="9525">
                      <a:noFill/>
                      <a:headEnd/>
                      <a:tailEnd/>
                    </a:ln>
                  </pic:spPr>
                </pic:pic>
              </a:graphicData>
            </a:graphic>
          </wp:inline>
        </w:drawing>
      </w:r>
    </w:p>
    <w:p>
      <w:pPr>
        <w:pStyle w:val="ImageCaption"/>
      </w:pPr>
      <w:r>
        <w:t xml:space="preserve">Figure 10: Third-generation XTDB databases computed in the browser by the same lower-convex-hull construction as the alloy joins. (a) Al-C from the third-generation assessment of He et al. [49], with the Einstein heat capacity and two-state liquid: the aluminium-rich liquid, the Al</w:t>
      </w:r>
      <w:r>
        <w:rPr>
          <w:vertAlign w:val="subscript"/>
        </w:rPr>
        <w:t xml:space="preserve">4</w:t>
      </w:r>
      <w:r>
        <w:t xml:space="preserve">C</w:t>
      </w:r>
      <w:r>
        <w:rPr>
          <w:vertAlign w:val="subscript"/>
        </w:rPr>
        <w:t xml:space="preserve">3</w:t>
      </w:r>
      <w:r>
        <w:t xml:space="preserve"> </w:t>
      </w:r>
      <w:r>
        <w:t xml:space="preserve">line compound at x(C) = 3/7, and graphite, reproducing the 933.47 K melting point and the Al</w:t>
      </w:r>
      <w:r>
        <w:rPr>
          <w:vertAlign w:val="subscript"/>
        </w:rPr>
        <w:t xml:space="preserve">4</w:t>
      </w:r>
      <w:r>
        <w:t xml:space="preserve">C</w:t>
      </w:r>
      <w:r>
        <w:rPr>
          <w:vertAlign w:val="subscript"/>
        </w:rPr>
        <w:t xml:space="preserve">3</w:t>
      </w:r>
      <w:r>
        <w:t xml:space="preserve"> </w:t>
      </w:r>
      <w:r>
        <w:t xml:space="preserve">peritectic near 2429 K. (b) Pb-Sn, a classic assessment [50] transcribed into XTDB and read by the same engine, giving the eutectic at 456 K and x(Sn) = 0.74. Two-phase fields are shaded; single-phase fields are left white. Temperatures in kelvin.</w:t>
      </w:r>
    </w:p>
    <w:p>
      <w:pPr>
        <w:pStyle w:val="BodyText"/>
      </w:pPr>
      <w:r>
        <w:t xml:space="preserve">The gap the present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v0.6.0 archives the exact version described, and the 137-test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2366"/>
    <w:bookmarkEnd w:id="2367"/>
    <w:bookmarkStart w:id="2368"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v0.6.0. The database files and their provenance records are in the repository’s data directory under CC BY 4.0.</w:t>
      </w:r>
    </w:p>
    <w:bookmarkEnd w:id="2368"/>
    <w:bookmarkStart w:id="2369" w:name="acknowledgements"/>
    <w:p>
      <w:pPr>
        <w:pStyle w:val="Heading2"/>
      </w:pPr>
      <w:r>
        <w:t xml:space="preserve">Acknowledgements</w:t>
      </w:r>
    </w:p>
    <w:p>
      <w:pPr>
        <w:pStyle w:val="FirstParagraph"/>
      </w:pPr>
      <w:r>
        <w:t xml:space="preserve">During the development of this software the authors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authors to its primary source before entering the database, and every reference was verified against its registry record. The authors reviewed and approved all output and take full responsibility for this article.</w:t>
      </w:r>
    </w:p>
    <w:bookmarkEnd w:id="2369"/>
    <w:bookmarkStart w:id="2370" w:name="funding-statement"/>
    <w:p>
      <w:pPr>
        <w:pStyle w:val="Heading2"/>
      </w:pPr>
      <w:r>
        <w:t xml:space="preserve">Funding statement</w:t>
      </w:r>
    </w:p>
    <w:p>
      <w:pPr>
        <w:pStyle w:val="FirstParagraph"/>
      </w:pPr>
      <w:r>
        <w:t xml:space="preserve">The development of this software received no external funding.</w:t>
      </w:r>
    </w:p>
    <w:bookmarkEnd w:id="2370"/>
    <w:bookmarkStart w:id="2371" w:name="competing-interests"/>
    <w:p>
      <w:pPr>
        <w:pStyle w:val="Heading2"/>
      </w:pPr>
      <w:r>
        <w:t xml:space="preserve">Competing interests</w:t>
      </w:r>
    </w:p>
    <w:p>
      <w:pPr>
        <w:pStyle w:val="FirstParagraph"/>
      </w:pPr>
      <w:r>
        <w:t xml:space="preserve">Both authors are affiliated with Odinzen LLC, which provides commercial thermodynamic modeling services, and declare this as a competing interest; Michael E. Bustamante founded the company. The software and database published here are released in full under open licenses, and no proprietary Odinzen assets are included.</w:t>
      </w:r>
    </w:p>
    <w:bookmarkEnd w:id="2371"/>
    <w:bookmarkStart w:id="2372"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Zaitsev AI, Litvina AD, Lyakishev NP, Mogutnov BM. Thermodynamics of CaO-Al2O3-SiO2 and CaF2-CaO-Al2O3-SiO2 melts. J Chem Soc Faraday Trans. 1997;93(17):3089-3098. doi:10.1039/a700511c</w:t>
      </w:r>
    </w:p>
    <w:p>
      <w:pPr>
        <w:pStyle w:val="BodyText"/>
      </w:pPr>
      <w:r>
        <w:t xml:space="preserve">[36] Barin I. Thermochemical Data of Pure Substances. 3rd ed. Weinheim: VCH; 1995. doi:10.1002/9783527619825</w:t>
      </w:r>
    </w:p>
    <w:p>
      <w:pPr>
        <w:pStyle w:val="BodyText"/>
      </w:pPr>
      <w:r>
        <w:t xml:space="preserve">[37] Hersh LS, Kleppa OJ. Enthalpies of Mixing in Some Binary Liquid Halide Mixtures. J Chem Phys. 1965;42:1309. doi:10.1063/1.1696115</w:t>
      </w:r>
    </w:p>
    <w:p>
      <w:pPr>
        <w:pStyle w:val="BodyText"/>
      </w:pPr>
      <w:r>
        <w:t xml:space="preserve">[38] Sangster J, Pelton AD. Phase Diagrams and Thermodynamic Properties of the 70 Binary Alkali Halide Systems Having Common Ions. J Phys Chem Ref Data. 1987;16:509. doi:10.1063/1.555803</w:t>
      </w:r>
    </w:p>
    <w:p>
      <w:pPr>
        <w:pStyle w:val="BodyText"/>
      </w:pPr>
      <w:r>
        <w:t xml:space="preserve">[39]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[40] Rankin GA. The ternary system CaO-Al2O3-SiO2, with optical study by F. E. Wright. Am J Sci. 1915;s4-39(229):1-79. doi:10.2475/ajs.s4-39.229.1</w:t>
      </w:r>
    </w:p>
    <w:p>
      <w:pPr>
        <w:pStyle w:val="BodyText"/>
      </w:pPr>
      <w:r>
        <w:t xml:space="preserve">[41] an Mey S. Reevaluation of the Al-Zn system. Z Metallkd. 1993;84(7):451-5. doi:10.1515/ijmr-1993-840704</w:t>
      </w:r>
    </w:p>
    <w:p>
      <w:pPr>
        <w:pStyle w:val="BodyText"/>
      </w:pPr>
      <w:r>
        <w:t xml:space="preserve">[42] Goodwin DG, Moffat HK, Schoegl I, Speth RL, Weber BW. Cantera: An Object-oriented Software Toolkit for Chemical Kinetics, Thermodynamics, and Transport Processes. Version 3.1.0; 2024. doi:10.5281/zenodo.14455267</w:t>
      </w:r>
    </w:p>
    <w:p>
      <w:pPr>
        <w:pStyle w:val="BodyText"/>
      </w:pPr>
      <w:r>
        <w:t xml:space="preserve">[43] Dinsdale AT. SGTE data for pure elements. Calphad. 1991 Oct;15(4):317-425. doi:10.1016/0364-5916(91)90030-N</w:t>
      </w:r>
    </w:p>
    <w:p>
      <w:pPr>
        <w:pStyle w:val="BodyText"/>
      </w:pPr>
      <w:r>
        <w:t xml:space="preserve">[44] McBride BJ, Zehe MJ, Gordon S. NASA Glenn Coefficients for Calculating Thermodynamic Properties of Individual Species. NASA/TP-2002-211556. Cleveland (OH): NASA Glenn Research Center; 2002.</w:t>
      </w:r>
    </w:p>
    <w:p>
      <w:pPr>
        <w:pStyle w:val="BodyText"/>
      </w:pPr>
      <w:r>
        <w:t xml:space="preserve">[45] Smith GP, Golden DM, Frenklach M, Moriarty NW, Eiteneer B, Goldenberg M, et al. GRI-Mech 3.0 [Internet]. 1999. Available from: http://combustion.berkeley.edu/gri-mech/</w:t>
      </w:r>
    </w:p>
    <w:p>
      <w:pPr>
        <w:pStyle w:val="BodyText"/>
      </w:pPr>
      <w:r>
        <w:t xml:space="preserve">[46]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[47] Massalski TB, editor. Binary Alloy Phase Diagrams. 2nd ed. Materials Park (OH): ASM International; 1990.</w:t>
      </w:r>
    </w:p>
    <w:p>
      <w:pPr>
        <w:pStyle w:val="BodyText"/>
      </w:pPr>
      <w:r>
        <w:t xml:space="preserve">[48] Chen Q, Sundman B. Modeling of thermodynamic properties for Bcc, Fcc, liquid, and amorphous iron. J Phase Equilibria. 2001 Nov;22(6):631-44. doi:10.1007/s11669-001-0027-9</w:t>
      </w:r>
    </w:p>
    <w:p>
      <w:pPr>
        <w:pStyle w:val="BodyText"/>
      </w:pPr>
      <w:r>
        <w:t xml:space="preserve">[49] He Z, Kaplan B, Mao H, Selleby M. The third generation Calphad description of Al-C including revisions of pure Al and C. Calphad. 2021 Mar;72:102250. doi:10.1016/j.calphad.2021.102250</w:t>
      </w:r>
    </w:p>
    <w:p>
      <w:pPr>
        <w:pStyle w:val="BodyText"/>
      </w:pPr>
      <w:r>
        <w:t xml:space="preserve">[50] Ngai TL, Chang YA. A thermodynamic analysis of the Pb-Sn system and the calculation of the Pb-Sn phase diagram. Calphad. 1981;5(4):267-76. doi:10.1016/0364-5916(81)90009-2</w:t>
      </w:r>
    </w:p>
    <w:bookmarkEnd w:id="2372"/>
    <w:bookmarkEnd w:id="23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322" Target="numbering.xml" /><Relationship Type="http://schemas.openxmlformats.org/officeDocument/2006/relationships/styles" Id="rId2321" Target="styles.xml" /><Relationship Type="http://schemas.openxmlformats.org/officeDocument/2006/relationships/settings" Id="rId2320" Target="settings.xml" /><Relationship Type="http://schemas.openxmlformats.org/officeDocument/2006/relationships/webSettings" Id="rId2319" Target="webSettings.xml" /><Relationship Type="http://schemas.openxmlformats.org/officeDocument/2006/relationships/fontTable" Id="rId2318" Target="fontTable.xml" /><Relationship Type="http://schemas.openxmlformats.org/officeDocument/2006/relationships/theme" Id="rId2317" Target="theme/theme1.xml" /><Relationship Type="http://schemas.openxmlformats.org/officeDocument/2006/relationships/footnotes" Id="rId2316" Target="footnotes.xml" /><Relationship Type="http://schemas.openxmlformats.org/officeDocument/2006/relationships/comments" Id="rId2315"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Id="rId1793" Target="media/rId1793.png" Type="http://schemas.openxmlformats.org/officeDocument/2006/relationships/image" /><Relationship Id="rId1796" Target="media/rId1796.png" Type="http://schemas.openxmlformats.org/officeDocument/2006/relationships/image" /><Relationship Id="rId1799" Target="media/rId1799.png" Type="http://schemas.openxmlformats.org/officeDocument/2006/relationships/image" /><Relationship Id="rId1814" Target="media/rId1814.png" Type="http://schemas.openxmlformats.org/officeDocument/2006/relationships/image" /><Relationship Id="rId1817" Target="media/rId1817.png" Type="http://schemas.openxmlformats.org/officeDocument/2006/relationships/image" /><Relationship Id="rId1820" Target="media/rId1820.png" Type="http://schemas.openxmlformats.org/officeDocument/2006/relationships/image" /><Relationship Id="rId1823" Target="media/rId1823.png" Type="http://schemas.openxmlformats.org/officeDocument/2006/relationships/image" /><Relationship Id="rId1826" Target="media/rId1826.png" Type="http://schemas.openxmlformats.org/officeDocument/2006/relationships/image" /><Relationship Id="rId1836" Target="media/rId1836.png" Type="http://schemas.openxmlformats.org/officeDocument/2006/relationships/image" /><Relationship Id="rId1839" Target="media/rId1839.png" Type="http://schemas.openxmlformats.org/officeDocument/2006/relationships/image" /><Relationship Id="rId1842" Target="media/rId1842.png" Type="http://schemas.openxmlformats.org/officeDocument/2006/relationships/image" /><Relationship Id="rId1857" Target="media/rId1857.png" Type="http://schemas.openxmlformats.org/officeDocument/2006/relationships/image" /><Relationship Id="rId1860" Target="media/rId1860.png" Type="http://schemas.openxmlformats.org/officeDocument/2006/relationships/image" /><Relationship Id="rId1863" Target="media/rId1863.png" Type="http://schemas.openxmlformats.org/officeDocument/2006/relationships/image" /><Relationship Id="rId1866" Target="media/rId1866.png" Type="http://schemas.openxmlformats.org/officeDocument/2006/relationships/image" /><Relationship Id="rId1869" Target="media/rId1869.png" Type="http://schemas.openxmlformats.org/officeDocument/2006/relationships/image" /><Relationship Id="rId1879" Target="media/rId1879.png" Type="http://schemas.openxmlformats.org/officeDocument/2006/relationships/image" /><Relationship Id="rId1882" Target="media/rId1882.png" Type="http://schemas.openxmlformats.org/officeDocument/2006/relationships/image" /><Relationship Id="rId1885" Target="media/rId1885.png" Type="http://schemas.openxmlformats.org/officeDocument/2006/relationships/image" /><Relationship Id="rId1900" Target="media/rId1900.png" Type="http://schemas.openxmlformats.org/officeDocument/2006/relationships/image" /><Relationship Id="rId1903" Target="media/rId1903.png" Type="http://schemas.openxmlformats.org/officeDocument/2006/relationships/image" /><Relationship Id="rId1906" Target="media/rId1906.png" Type="http://schemas.openxmlformats.org/officeDocument/2006/relationships/image" /><Relationship Id="rId1909" Target="media/rId1909.png" Type="http://schemas.openxmlformats.org/officeDocument/2006/relationships/image" /><Relationship Id="rId1912" Target="media/rId1912.png" Type="http://schemas.openxmlformats.org/officeDocument/2006/relationships/image" /><Relationship Id="rId1922" Target="media/rId1922.png" Type="http://schemas.openxmlformats.org/officeDocument/2006/relationships/image" /><Relationship Id="rId1925" Target="media/rId1925.png" Type="http://schemas.openxmlformats.org/officeDocument/2006/relationships/image" /><Relationship Id="rId1928" Target="media/rId1928.png" Type="http://schemas.openxmlformats.org/officeDocument/2006/relationships/image" /><Relationship Id="rId1943" Target="media/rId1943.png" Type="http://schemas.openxmlformats.org/officeDocument/2006/relationships/image" /><Relationship Id="rId1946" Target="media/rId1946.png" Type="http://schemas.openxmlformats.org/officeDocument/2006/relationships/image" /><Relationship Id="rId1949" Target="media/rId1949.png" Type="http://schemas.openxmlformats.org/officeDocument/2006/relationships/image" /><Relationship Id="rId1952" Target="media/rId1952.png" Type="http://schemas.openxmlformats.org/officeDocument/2006/relationships/image" /><Relationship Id="rId1955" Target="media/rId1955.png" Type="http://schemas.openxmlformats.org/officeDocument/2006/relationships/image" /><Relationship Id="rId1965" Target="media/rId1965.png" Type="http://schemas.openxmlformats.org/officeDocument/2006/relationships/image" /><Relationship Id="rId1968" Target="media/rId1968.png" Type="http://schemas.openxmlformats.org/officeDocument/2006/relationships/image" /><Relationship Id="rId1971" Target="media/rId1971.png" Type="http://schemas.openxmlformats.org/officeDocument/2006/relationships/image" /><Relationship Id="rId1986" Target="media/rId1986.png" Type="http://schemas.openxmlformats.org/officeDocument/2006/relationships/image" /><Relationship Id="rId1989" Target="media/rId1989.png" Type="http://schemas.openxmlformats.org/officeDocument/2006/relationships/image" /><Relationship Id="rId1992" Target="media/rId1992.png" Type="http://schemas.openxmlformats.org/officeDocument/2006/relationships/image" /><Relationship Id="rId1995" Target="media/rId1995.png" Type="http://schemas.openxmlformats.org/officeDocument/2006/relationships/image" /><Relationship Id="rId1998" Target="media/rId1998.png" Type="http://schemas.openxmlformats.org/officeDocument/2006/relationships/image" /><Relationship Id="rId2008" Target="media/rId2008.png" Type="http://schemas.openxmlformats.org/officeDocument/2006/relationships/image" /><Relationship Id="rId2011" Target="media/rId2011.png" Type="http://schemas.openxmlformats.org/officeDocument/2006/relationships/image" /><Relationship Id="rId2014" Target="media/rId2014.png" Type="http://schemas.openxmlformats.org/officeDocument/2006/relationships/image" /><Relationship Id="rId2029" Target="media/rId2029.png" Type="http://schemas.openxmlformats.org/officeDocument/2006/relationships/image" /><Relationship Id="rId2032" Target="media/rId2032.png" Type="http://schemas.openxmlformats.org/officeDocument/2006/relationships/image" /><Relationship Id="rId2035" Target="media/rId2035.png" Type="http://schemas.openxmlformats.org/officeDocument/2006/relationships/image" /><Relationship Id="rId2038" Target="media/rId2038.png" Type="http://schemas.openxmlformats.org/officeDocument/2006/relationships/image" /><Relationship Id="rId2041" Target="media/rId2041.png" Type="http://schemas.openxmlformats.org/officeDocument/2006/relationships/image" /><Relationship Id="rId2051" Target="media/rId2051.png" Type="http://schemas.openxmlformats.org/officeDocument/2006/relationships/image" /><Relationship Id="rId2054" Target="media/rId2054.png" Type="http://schemas.openxmlformats.org/officeDocument/2006/relationships/image" /><Relationship Id="rId2057" Target="media/rId2057.png" Type="http://schemas.openxmlformats.org/officeDocument/2006/relationships/image" /><Relationship Id="rId2072" Target="media/rId2072.png" Type="http://schemas.openxmlformats.org/officeDocument/2006/relationships/image" /><Relationship Id="rId2075" Target="media/rId2075.png" Type="http://schemas.openxmlformats.org/officeDocument/2006/relationships/image" /><Relationship Id="rId2078" Target="media/rId2078.png" Type="http://schemas.openxmlformats.org/officeDocument/2006/relationships/image" /><Relationship Id="rId2081" Target="media/rId2081.png" Type="http://schemas.openxmlformats.org/officeDocument/2006/relationships/image" /><Relationship Id="rId2084" Target="media/rId2084.png" Type="http://schemas.openxmlformats.org/officeDocument/2006/relationships/image" /><Relationship Id="rId2094" Target="media/rId2094.png" Type="http://schemas.openxmlformats.org/officeDocument/2006/relationships/image" /><Relationship Id="rId2097" Target="media/rId2097.png" Type="http://schemas.openxmlformats.org/officeDocument/2006/relationships/image" /><Relationship Id="rId2100" Target="media/rId2100.png" Type="http://schemas.openxmlformats.org/officeDocument/2006/relationships/image" /><Relationship Id="rId2115" Target="media/rId2115.png" Type="http://schemas.openxmlformats.org/officeDocument/2006/relationships/image" /><Relationship Id="rId2118" Target="media/rId2118.png" Type="http://schemas.openxmlformats.org/officeDocument/2006/relationships/image" /><Relationship Id="rId2121" Target="media/rId2121.png" Type="http://schemas.openxmlformats.org/officeDocument/2006/relationships/image" /><Relationship Id="rId2124" Target="media/rId2124.png" Type="http://schemas.openxmlformats.org/officeDocument/2006/relationships/image" /><Relationship Id="rId2127" Target="media/rId2127.png" Type="http://schemas.openxmlformats.org/officeDocument/2006/relationships/image" /><Relationship Id="rId2130" Target="media/rId2130.png" Type="http://schemas.openxmlformats.org/officeDocument/2006/relationships/image" /><Relationship Id="rId2140" Target="media/rId2140.png" Type="http://schemas.openxmlformats.org/officeDocument/2006/relationships/image" /><Relationship Id="rId2143" Target="media/rId2143.png" Type="http://schemas.openxmlformats.org/officeDocument/2006/relationships/image" /><Relationship Id="rId2146" Target="media/rId2146.png" Type="http://schemas.openxmlformats.org/officeDocument/2006/relationships/image" /><Relationship Id="rId2161" Target="media/rId2161.png" Type="http://schemas.openxmlformats.org/officeDocument/2006/relationships/image" /><Relationship Id="rId2164" Target="media/rId2164.png" Type="http://schemas.openxmlformats.org/officeDocument/2006/relationships/image" /><Relationship Id="rId2167" Target="media/rId2167.png" Type="http://schemas.openxmlformats.org/officeDocument/2006/relationships/image" /><Relationship Id="rId2170" Target="media/rId2170.png" Type="http://schemas.openxmlformats.org/officeDocument/2006/relationships/image" /><Relationship Id="rId2173" Target="media/rId2173.png" Type="http://schemas.openxmlformats.org/officeDocument/2006/relationships/image" /><Relationship Id="rId2176" Target="media/rId2176.png" Type="http://schemas.openxmlformats.org/officeDocument/2006/relationships/image" /><Relationship Id="rId2186" Target="media/rId2186.png" Type="http://schemas.openxmlformats.org/officeDocument/2006/relationships/image" /><Relationship Id="rId2189" Target="media/rId2189.png" Type="http://schemas.openxmlformats.org/officeDocument/2006/relationships/image" /><Relationship Id="rId2192" Target="media/rId2192.png" Type="http://schemas.openxmlformats.org/officeDocument/2006/relationships/image" /><Relationship Id="rId2207" Target="media/rId2207.png" Type="http://schemas.openxmlformats.org/officeDocument/2006/relationships/image" /><Relationship Id="rId2210" Target="media/rId2210.png" Type="http://schemas.openxmlformats.org/officeDocument/2006/relationships/image" /><Relationship Id="rId2213" Target="media/rId2213.png" Type="http://schemas.openxmlformats.org/officeDocument/2006/relationships/image" /><Relationship Id="rId2216" Target="media/rId2216.png" Type="http://schemas.openxmlformats.org/officeDocument/2006/relationships/image" /><Relationship Id="rId2219" Target="media/rId2219.png" Type="http://schemas.openxmlformats.org/officeDocument/2006/relationships/image" /><Relationship Id="rId2222" Target="media/rId2222.png" Type="http://schemas.openxmlformats.org/officeDocument/2006/relationships/image" /><Relationship Id="rId2232" Target="media/rId2232.png" Type="http://schemas.openxmlformats.org/officeDocument/2006/relationships/image" /><Relationship Id="rId2235" Target="media/rId2235.png" Type="http://schemas.openxmlformats.org/officeDocument/2006/relationships/image" /><Relationship Id="rId2238" Target="media/rId2238.png" Type="http://schemas.openxmlformats.org/officeDocument/2006/relationships/image" /><Relationship Id="rId2253" Target="media/rId2253.png" Type="http://schemas.openxmlformats.org/officeDocument/2006/relationships/image" /><Relationship Id="rId2256" Target="media/rId2256.png" Type="http://schemas.openxmlformats.org/officeDocument/2006/relationships/image" /><Relationship Id="rId2259" Target="media/rId2259.png" Type="http://schemas.openxmlformats.org/officeDocument/2006/relationships/image" /><Relationship Id="rId2262" Target="media/rId2262.png" Type="http://schemas.openxmlformats.org/officeDocument/2006/relationships/image" /><Relationship Id="rId2265" Target="media/rId2265.png" Type="http://schemas.openxmlformats.org/officeDocument/2006/relationships/image" /><Relationship Id="rId2268" Target="media/rId2268.png" Type="http://schemas.openxmlformats.org/officeDocument/2006/relationships/image" /><Relationship Id="rId2278" Target="media/rId2278.png" Type="http://schemas.openxmlformats.org/officeDocument/2006/relationships/image" /><Relationship Id="rId2281" Target="media/rId2281.png" Type="http://schemas.openxmlformats.org/officeDocument/2006/relationships/image" /><Relationship Id="rId2284" Target="media/rId2284.png" Type="http://schemas.openxmlformats.org/officeDocument/2006/relationships/image" /><Relationship Id="rId2299" Target="media/rId2299.png" Type="http://schemas.openxmlformats.org/officeDocument/2006/relationships/image" /><Relationship Id="rId2302" Target="media/rId2302.png" Type="http://schemas.openxmlformats.org/officeDocument/2006/relationships/image" /><Relationship Id="rId2305" Target="media/rId2305.png" Type="http://schemas.openxmlformats.org/officeDocument/2006/relationships/image" /><Relationship Id="rId2308" Target="media/rId2308.png" Type="http://schemas.openxmlformats.org/officeDocument/2006/relationships/image" /><Relationship Id="rId2311" Target="media/rId2311.png" Type="http://schemas.openxmlformats.org/officeDocument/2006/relationships/image" /><Relationship Id="rId2314" Target="media/rId2314.png" Type="http://schemas.openxmlformats.org/officeDocument/2006/relationships/image" /><Relationship Type="http://schemas.openxmlformats.org/officeDocument/2006/relationships/image" Id="rId2363" Target="media/rId2363.png" /><Relationship Type="http://schemas.openxmlformats.org/officeDocument/2006/relationships/image" Id="rId2324" Target="media/rId2324.png" /><Relationship Type="http://schemas.openxmlformats.org/officeDocument/2006/relationships/image" Id="rId2327" Target="media/rId2327.png" /><Relationship Type="http://schemas.openxmlformats.org/officeDocument/2006/relationships/image" Id="rId2330" Target="media/rId2330.png" /><Relationship Type="http://schemas.openxmlformats.org/officeDocument/2006/relationships/image" Id="rId2345" Target="media/rId2345.png" /><Relationship Type="http://schemas.openxmlformats.org/officeDocument/2006/relationships/image" Id="rId2348" Target="media/rId2348.png" /><Relationship Type="http://schemas.openxmlformats.org/officeDocument/2006/relationships/image" Id="rId2351" Target="media/rId2351.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0" Target="media/rId23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2026-09-09T17:49:39Z</dcterms:created>
  <dcterms:modified xsi:type="dcterms:W3CDTF">2026-09-09T17:49:39Z</dcterms:modified>
</cp:coreProperties>
</file>

<file path=docProps/custom.xml><?xml version="1.0" encoding="utf-8"?>
<Properties xmlns="http://schemas.openxmlformats.org/officeDocument/2006/custom-properties" xmlns:vt="http://schemas.openxmlformats.org/officeDocument/2006/docPropsVTypes"/>
</file>