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60b781f7bb818b2fc53a92ebfd922bb1a83c530"/>
    <w:p>
      <w:pPr>
        <w:pStyle w:val="Heading1"/>
      </w:pPr>
      <w:r>
        <w:t xml:space="preserve">JORS submission checklist (Hephaestus metapaper)</w:t>
      </w:r>
    </w:p>
    <w:p>
      <w:pPr>
        <w:pStyle w:val="FirstParagraph"/>
      </w:pPr>
      <w:r>
        <w:t xml:space="preserve">Updated 2026-09-02 (final pass). Manuscript updated to release v0.2.0, cover letter rebuilt</w:t>
      </w:r>
      <w:r>
        <w:t xml:space="preserve"> </w:t>
      </w:r>
      <w:r>
        <w:t xml:space="preserve">on the Odinzen letterhead, gates re-run. Ready for the two submission clicks below.</w:t>
      </w:r>
    </w:p>
    <w:bookmarkStart w:id="9" w:name="done-2026-09-02-third-pass"/>
    <w:p>
      <w:pPr>
        <w:pStyle w:val="Heading2"/>
      </w:pPr>
      <w:r>
        <w:t xml:space="preserve">Done (2026-09-02, third pass)</w:t>
      </w:r>
    </w:p>
    <w:p>
      <w:pPr>
        <w:pStyle w:val="Compact"/>
        <w:numPr>
          <w:ilvl w:val="0"/>
          <w:numId w:val="1001"/>
        </w:numPr>
      </w:pPr>
      <w:r>
        <w:t xml:space="preserve">main pushed (public repo now matches the deployed site) and release v0.2.0 tagged and pushed.</w:t>
      </w:r>
    </w:p>
    <w:p>
      <w:pPr>
        <w:pStyle w:val="Compact"/>
        <w:numPr>
          <w:ilvl w:val="0"/>
          <w:numId w:val="1001"/>
        </w:numPr>
      </w:pPr>
      <w:r>
        <w:t xml:space="preserve">Manuscript updated to v0.2.0: browser-application section lists all five tools including</w:t>
      </w:r>
      <w:r>
        <w:t xml:space="preserve"> </w:t>
      </w:r>
      <w:r>
        <w:t xml:space="preserve">session uploads and the live solver for any loaded three-cation file; the reuse section</w:t>
      </w:r>
      <w:r>
        <w:t xml:space="preserve"> </w:t>
      </w:r>
      <w:r>
        <w:t xml:space="preserve">records the in-browser hull covering loaded ternaries (was future work, now shipped);</w:t>
      </w:r>
      <w:r>
        <w:t xml:space="preserve"> </w:t>
      </w:r>
      <w:r>
        <w:t xml:space="preserve">software-location and data-availability blocks bumped; docx and PDF rebuilt from the md.</w:t>
      </w:r>
    </w:p>
    <w:p>
      <w:pPr>
        <w:pStyle w:val="Compact"/>
        <w:numPr>
          <w:ilvl w:val="0"/>
          <w:numId w:val="1001"/>
        </w:numPr>
      </w:pPr>
      <w:r>
        <w:t xml:space="preserve">Cover letter rebuilt on the Odinzen letterhead template (header block, footer logo),</w:t>
      </w:r>
      <w:r>
        <w:t xml:space="preserve"> </w:t>
      </w:r>
      <w:r>
        <w:t xml:space="preserve">dated 2 September 2026, v0.2.0 archive line; PDF rendered and visually checked.</w:t>
      </w:r>
    </w:p>
    <w:p>
      <w:pPr>
        <w:pStyle w:val="Compact"/>
        <w:numPr>
          <w:ilvl w:val="0"/>
          <w:numId w:val="1001"/>
        </w:numPr>
      </w:pPr>
      <w:r>
        <w:t xml:space="preserve">Gate record: argus order on the rebuilt docx is green (26 in-text / 26 list in</w:t>
      </w:r>
      <w:r>
        <w:t xml:space="preserve"> </w:t>
      </w:r>
      <w:r>
        <w:t xml:space="preserve">first-appearance order; tables 1-2 and figures 1-3 resolve). The reference list is</w:t>
      </w:r>
      <w:r>
        <w:t xml:space="preserve"> </w:t>
      </w:r>
      <w:r>
        <w:t xml:space="preserve">hash-identical to the 2026-08-25 build (sha256 prefix 9bac98bda6192e47), so the 08-25</w:t>
      </w:r>
      <w:r>
        <w:t xml:space="preserve"> </w:t>
      </w:r>
      <w:r>
        <w:t xml:space="preserve">metadata gate (24 registry-resolved, 2 hand-verified monographs, suspects adjudicated)</w:t>
      </w:r>
      <w:r>
        <w:t xml:space="preserve"> </w:t>
      </w:r>
      <w:r>
        <w:t xml:space="preserve">carries to this build unchanged.</w:t>
      </w:r>
    </w:p>
    <w:bookmarkEnd w:id="9"/>
    <w:bookmarkStart w:id="10" w:name="remaining---michaels-two-clicks"/>
    <w:p>
      <w:pPr>
        <w:pStyle w:val="Heading2"/>
      </w:pPr>
      <w:r>
        <w:t xml:space="preserve">Remaining - Michael’s two clicks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Zenodo DOI (do first; JORS wants a persistent archive):</w:t>
      </w:r>
      <w:r>
        <w:t xml:space="preserve"> </w:t>
      </w:r>
      <w:r>
        <w:t xml:space="preserve">zenodo.org -&gt; log in with</w:t>
      </w:r>
      <w:r>
        <w:t xml:space="preserve"> </w:t>
      </w:r>
      <w:r>
        <w:t xml:space="preserve">GitHub -&gt; enable the hephaestus-mqmqa-public repository toggle -&gt; on GitHub, the existing</w:t>
      </w:r>
      <w:r>
        <w:t xml:space="preserve"> </w:t>
      </w:r>
      <w:r>
        <w:t xml:space="preserve">v0.2.0 release triggers the deposit (or click</w:t>
      </w:r>
      <w:r>
        <w:t xml:space="preserve"> </w:t>
      </w:r>
      <w:r>
        <w:t xml:space="preserve">“create release”</w:t>
      </w:r>
      <w:r>
        <w:t xml:space="preserve"> </w:t>
      </w:r>
      <w:r>
        <w:t xml:space="preserve">again if needed). Copy the</w:t>
      </w:r>
      <w:r>
        <w:t xml:space="preserve"> </w:t>
      </w:r>
      <w:r>
        <w:t xml:space="preserve">minted DOI into the JORS form when asked.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JORS portal:</w:t>
      </w:r>
      <w:r>
        <w:t xml:space="preserve"> </w:t>
      </w:r>
      <w:r>
        <w:t xml:space="preserve">openresearchsoftware.metajnl.com -&gt; submit -&gt; upload the manuscript docx,</w:t>
      </w:r>
      <w:r>
        <w:t xml:space="preserve"> </w:t>
      </w:r>
      <w:r>
        <w:t xml:space="preserve">the three figures, and the cover letter from this package.</w:t>
      </w:r>
    </w:p>
    <w:p>
      <w:pPr>
        <w:pStyle w:val="Compact"/>
        <w:numPr>
          <w:ilvl w:val="0"/>
          <w:numId w:val="1002"/>
        </w:numPr>
      </w:pPr>
      <w:r>
        <w:t xml:space="preserve">Optional, after submission: SSRN (MatSciRN) preprint from the same PDF, feeding the</w:t>
      </w:r>
      <w:r>
        <w:t xml:space="preserve"> </w:t>
      </w:r>
      <w:r>
        <w:t xml:space="preserve">LinkedIn series.</w:t>
      </w:r>
    </w:p>
    <w:bookmarkEnd w:id="10"/>
    <w:bookmarkStart w:id="11" w:name="prior-passes"/>
    <w:p>
      <w:pPr>
        <w:pStyle w:val="Heading2"/>
      </w:pPr>
      <w:r>
        <w:t xml:space="preserve">Prior passes</w:t>
      </w:r>
    </w:p>
    <w:p>
      <w:pPr>
        <w:pStyle w:val="FirstParagraph"/>
      </w:pPr>
      <w:r>
        <w:t xml:space="preserve">Updated 2026-08-25 (second pass). The bibliography is now Zotero-generated, the</w:t>
      </w:r>
      <w:r>
        <w:t xml:space="preserve"> </w:t>
      </w:r>
      <w:r>
        <w:t xml:space="preserve">repository is public, and v0.1.0 is tagged. The list below is what remains.</w:t>
      </w:r>
    </w:p>
    <w:bookmarkEnd w:id="11"/>
    <w:bookmarkStart w:id="12" w:name="done-2026-08-25"/>
    <w:p>
      <w:pPr>
        <w:pStyle w:val="Heading2"/>
      </w:pPr>
      <w:r>
        <w:t xml:space="preserve">Done (2026-08-25)</w:t>
      </w:r>
    </w:p>
    <w:p>
      <w:pPr>
        <w:pStyle w:val="Compact"/>
        <w:numPr>
          <w:ilvl w:val="0"/>
          <w:numId w:val="1003"/>
        </w:numPr>
      </w:pPr>
      <w:r>
        <w:t xml:space="preserve">Repository public: github.com/odinzen/hephaestus-mqmqa-public (flipped by Michael).</w:t>
      </w:r>
    </w:p>
    <w:p>
      <w:pPr>
        <w:pStyle w:val="Compact"/>
        <w:numPr>
          <w:ilvl w:val="0"/>
          <w:numId w:val="1003"/>
        </w:numPr>
      </w:pPr>
      <w:r>
        <w:t xml:space="preserve">Release tag v0.1.0 pushed on main.</w:t>
      </w:r>
    </w:p>
    <w:p>
      <w:pPr>
        <w:pStyle w:val="Compact"/>
        <w:numPr>
          <w:ilvl w:val="0"/>
          <w:numId w:val="1003"/>
        </w:numPr>
      </w:pPr>
      <w:r>
        <w:t xml:space="preserve">Bibliography regenerated from the Zotero export (24 registry-bound entries plus</w:t>
      </w:r>
      <w:r>
        <w:t xml:space="preserve"> </w:t>
      </w:r>
      <w:r>
        <w:t xml:space="preserve">the two no-DOI monographs), 26 references, Greig Parts I and II now separate</w:t>
      </w:r>
      <w:r>
        <w:t xml:space="preserve"> </w:t>
      </w:r>
      <w:r>
        <w:t xml:space="preserve">entries, in-text markers renumbered, all argus gates green on the rebuilt docx.</w:t>
      </w:r>
    </w:p>
    <w:p>
      <w:pPr>
        <w:pStyle w:val="Compact"/>
        <w:numPr>
          <w:ilvl w:val="0"/>
          <w:numId w:val="1003"/>
        </w:numPr>
      </w:pPr>
      <w:r>
        <w:t xml:space="preserve">Documented corrections to registry typos (the papers’ true forms, deviating from</w:t>
      </w:r>
      <w:r>
        <w:t xml:space="preserve"> </w:t>
      </w:r>
      <w:r>
        <w:t xml:space="preserve">Crossref): Greig JW (registry says</w:t>
      </w:r>
      <w:r>
        <w:t xml:space="preserve"> </w:t>
      </w:r>
      <w:r>
        <w:t xml:space="preserve">“Creig”</w:t>
      </w:r>
      <w:r>
        <w:t xml:space="preserve">, Part II), Fe-O-SiO2 (registry has</w:t>
      </w:r>
      <w:r>
        <w:t xml:space="preserve"> </w:t>
      </w:r>
      <w:r>
        <w:t xml:space="preserve">lowercase</w:t>
      </w:r>
      <w:r>
        <w:t xml:space="preserve"> </w:t>
      </w:r>
      <w:r>
        <w:t xml:space="preserve">“o”</w:t>
      </w:r>
      <w:r>
        <w:t xml:space="preserve">, Björkman 1985), SiO2 subscript-artifact spacing (Bowen-Schairer).</w:t>
      </w:r>
    </w:p>
    <w:p>
      <w:pPr>
        <w:pStyle w:val="Compact"/>
        <w:numPr>
          <w:ilvl w:val="0"/>
          <w:numId w:val="1003"/>
        </w:numPr>
      </w:pPr>
      <w:r>
        <w:t xml:space="preserve">Software location block updated per the no-Zenodo decision: archive = GitHub</w:t>
      </w:r>
      <w:r>
        <w:t xml:space="preserve"> </w:t>
      </w:r>
      <w:r>
        <w:t xml:space="preserve">release v0.1.0.</w:t>
      </w:r>
    </w:p>
    <w:bookmarkEnd w:id="12"/>
    <w:bookmarkStart w:id="13" w:name="remaining-before-submission"/>
    <w:p>
      <w:pPr>
        <w:pStyle w:val="Heading2"/>
      </w:pPr>
      <w:r>
        <w:t xml:space="preserve">Remaining before submission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Zotero library hygiene</w:t>
      </w:r>
      <w:r>
        <w:t xml:space="preserve"> </w:t>
      </w:r>
      <w:r>
        <w:t xml:space="preserve">(the document is correct; make the library match):</w:t>
      </w:r>
      <w:r>
        <w:t xml:space="preserve"> </w:t>
      </w:r>
      <w:r>
        <w:t xml:space="preserve">in Zotero, open the Greig Part II item and correct the author</w:t>
      </w:r>
      <w:r>
        <w:t xml:space="preserve"> </w:t>
      </w:r>
      <w:r>
        <w:t xml:space="preserve">“Creig”</w:t>
      </w:r>
      <w:r>
        <w:t xml:space="preserve"> </w:t>
      </w:r>
      <w:r>
        <w:t xml:space="preserve">to</w:t>
      </w:r>
      <w:r>
        <w:t xml:space="preserve"> </w:t>
      </w:r>
      <w:r>
        <w:t xml:space="preserve">“Greig”</w:t>
      </w:r>
      <w:r>
        <w:t xml:space="preserve">; add the two no-DOI monographs by hand (Robie and Hemingway, USGS</w:t>
      </w:r>
      <w:r>
        <w:t xml:space="preserve"> </w:t>
      </w:r>
      <w:r>
        <w:t xml:space="preserve">Bulletin 2131, 1995; Chase, NIST-JANAF Tables 4th ed., Monograph 9, 1998).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SSRN preprint</w:t>
      </w:r>
      <w:r>
        <w:t xml:space="preserve"> </w:t>
      </w:r>
      <w:r>
        <w:t xml:space="preserve">(MatSciRN network): upload the manuscript PDF from this</w:t>
      </w:r>
      <w:r>
        <w:t xml:space="preserve"> </w:t>
      </w:r>
      <w:r>
        <w:t xml:space="preserve">package. Feeds the LinkedIn preprint series.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Journal-submission flag (decide before submitting to JORS, not before SSRN):</w:t>
      </w:r>
      <w:r>
        <w:t xml:space="preserve"> </w:t>
      </w:r>
      <w:r>
        <w:t xml:space="preserve">JORS requires deposit in a persistent archive (their guidance names Zenodo or</w:t>
      </w:r>
      <w:r>
        <w:t xml:space="preserve"> </w:t>
      </w:r>
      <w:r>
        <w:t xml:space="preserve">figshare); a GitHub release alone may be bounced by the editor. The Zenodo</w:t>
      </w:r>
      <w:r>
        <w:t xml:space="preserve"> </w:t>
      </w:r>
      <w:r>
        <w:t xml:space="preserve">GitHub integration is two clicks and mints the DOI from the existing v0.1.0</w:t>
      </w:r>
      <w:r>
        <w:t xml:space="preserve"> </w:t>
      </w:r>
      <w:r>
        <w:t xml:space="preserve">release whenever you are ready.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Update the cover letter date</w:t>
      </w:r>
      <w:r>
        <w:t xml:space="preserve"> </w:t>
      </w:r>
      <w:r>
        <w:t xml:space="preserve">if submission is not on 2026-08-25.</w:t>
      </w:r>
    </w:p>
    <w:bookmarkEnd w:id="13"/>
    <w:bookmarkStart w:id="14" w:name="X0b0de9608375c0b510d028c84fe6ac621772307"/>
    <w:p>
      <w:pPr>
        <w:pStyle w:val="Heading2"/>
      </w:pPr>
      <w:r>
        <w:t xml:space="preserve">Gate record (all run on the final built docx, 2026-08-25 second pass)</w:t>
      </w:r>
    </w:p>
    <w:p>
      <w:pPr>
        <w:pStyle w:val="Compact"/>
        <w:numPr>
          <w:ilvl w:val="0"/>
          <w:numId w:val="1005"/>
        </w:numPr>
      </w:pPr>
      <w:r>
        <w:t xml:space="preserve">Argus check: 26 entries; 24 resolve against Crossref/OpenAlex/arXiv. The three</w:t>
      </w:r>
      <w:r>
        <w:t xml:space="preserve"> </w:t>
      </w:r>
      <w:r>
        <w:t xml:space="preserve">suspect flags were adjudicated: Greig Part II is the documented registry typo,</w:t>
      </w:r>
      <w:r>
        <w:t xml:space="preserve"> </w:t>
      </w:r>
      <w:r>
        <w:t xml:space="preserve">and both arXiv MLIP entries match the canonical arXiv author lists exactly</w:t>
      </w:r>
      <w:r>
        <w:t xml:space="preserve"> </w:t>
      </w:r>
      <w:r>
        <w:t xml:space="preserve">(OpenAlex author-parsing noise). The two monographs are no-DOI, verified by hand.</w:t>
      </w:r>
    </w:p>
    <w:p>
      <w:pPr>
        <w:pStyle w:val="Compact"/>
        <w:numPr>
          <w:ilvl w:val="0"/>
          <w:numId w:val="1005"/>
        </w:numPr>
      </w:pPr>
      <w:r>
        <w:t xml:space="preserve">Argus order: 26 in-text citations and 26 list entries agree, first-appearance order.</w:t>
      </w:r>
    </w:p>
    <w:p>
      <w:pPr>
        <w:pStyle w:val="Compact"/>
        <w:numPr>
          <w:ilvl w:val="0"/>
          <w:numId w:val="1005"/>
        </w:numPr>
      </w:pPr>
      <w:r>
        <w:t xml:space="preserve">Argus leak: no codenames, no engine-method description.</w:t>
      </w:r>
    </w:p>
    <w:p>
      <w:pPr>
        <w:pStyle w:val="Compact"/>
        <w:numPr>
          <w:ilvl w:val="0"/>
          <w:numId w:val="1005"/>
        </w:numPr>
      </w:pPr>
      <w:r>
        <w:t xml:space="preserve">Argus statements: conflict-of-interest and data-availability both pass.</w:t>
      </w:r>
    </w:p>
    <w:p>
      <w:pPr>
        <w:pStyle w:val="Compact"/>
        <w:numPr>
          <w:ilvl w:val="0"/>
          <w:numId w:val="1005"/>
        </w:numPr>
      </w:pPr>
      <w:r>
        <w:t xml:space="preserve">Argus typography, units, consistency: clean.</w:t>
      </w:r>
    </w:p>
    <w:p>
      <w:pPr>
        <w:pStyle w:val="Compact"/>
        <w:numPr>
          <w:ilvl w:val="0"/>
          <w:numId w:val="1005"/>
        </w:numPr>
      </w:pPr>
      <w:r>
        <w:t xml:space="preserve">Argus kristina: clean apart from six long-sentence advisories, kept deliberately.</w:t>
      </w:r>
    </w:p>
    <w:p>
      <w:pPr>
        <w:pStyle w:val="Compact"/>
        <w:numPr>
          <w:ilvl w:val="0"/>
          <w:numId w:val="1005"/>
        </w:numPr>
      </w:pPr>
      <w:r>
        <w:t xml:space="preserve">PDF rebuilt (LibreOffice) and visually checked: Times New Roman, justified,</w:t>
      </w:r>
      <w:r>
        <w:t xml:space="preserve"> </w:t>
      </w:r>
      <w:r>
        <w:t xml:space="preserve">black, Odinzen-only byline, references render correctly.</w:t>
      </w:r>
    </w:p>
    <w:bookmarkEnd w:id="14"/>
    <w:bookmarkStart w:id="15" w:name="notes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6"/>
        </w:numPr>
      </w:pPr>
      <w:r>
        <w:t xml:space="preserve">JORS conventions applied: metapaper section template, Vancouver numbered</w:t>
      </w:r>
      <w:r>
        <w:t xml:space="preserve"> </w:t>
      </w:r>
      <w:r>
        <w:t xml:space="preserve">references by first appearance, American spelling.</w:t>
      </w:r>
    </w:p>
    <w:p>
      <w:pPr>
        <w:pStyle w:val="Compact"/>
        <w:numPr>
          <w:ilvl w:val="0"/>
          <w:numId w:val="1006"/>
        </w:numPr>
      </w:pPr>
      <w:r>
        <w:t xml:space="preserve">Authorship: single author, byline Odinzen LLC only (recorded decision 2026-08-25).</w:t>
      </w:r>
    </w:p>
    <w:p>
      <w:pPr>
        <w:pStyle w:val="Compact"/>
        <w:numPr>
          <w:ilvl w:val="0"/>
          <w:numId w:val="1006"/>
        </w:numPr>
      </w:pPr>
      <w:r>
        <w:t xml:space="preserve">Optional polish: an architecture figure is allowed by the template and could be</w:t>
      </w:r>
      <w:r>
        <w:t xml:space="preserve"> </w:t>
      </w:r>
      <w:r>
        <w:t xml:space="preserve">added in revision if reviewers ask.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2026-09-02T20:47:35Z</dcterms:created>
  <dcterms:modified xsi:type="dcterms:W3CDTF">2026-09-02T20:47:35Z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