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6.png" ContentType="image/png"/>
  <Override PartName="/word/media/rId689.png" ContentType="image/png"/>
  <Override PartName="/word/media/rId692.png" ContentType="image/png"/>
  <Override PartName="/word/media/rId707.png" ContentType="image/png"/>
  <Override PartName="/word/media/rId7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0" w:name="X4855b1162e70238fd839d871e0792397dc58430"/>
    <w:p>
      <w:pPr>
        <w:pStyle w:val="Heading1"/>
      </w:pPr>
      <w:r>
        <w:t xml:space="preserve">Hephaestus: an in-browser open-source engine and databases for the thermodynamics and phase diagrams of slags, molten salts, and alloys</w:t>
      </w:r>
    </w:p>
    <w:p>
      <w:pPr>
        <w:pStyle w:val="FirstParagraph"/>
      </w:pPr>
      <w:r>
        <w:t xml:space="preserve">Michael E. Bustamante</w:t>
      </w:r>
    </w:p>
    <w:p>
      <w:pPr>
        <w:pStyle w:val="BodyText"/>
      </w:pPr>
      <w:r>
        <w:t xml:space="preserve">Odinzen LLC, Houston, TX, United States</w:t>
      </w:r>
    </w:p>
    <w:p>
      <w:pPr>
        <w:pStyle w:val="BodyText"/>
      </w:pPr>
      <w:r>
        <w:t xml:space="preserve">Corresponding author: michaelbusta@odinzen.io</w:t>
      </w:r>
    </w:p>
    <w:p>
      <w:pPr>
        <w:pStyle w:val="BodyText"/>
      </w:pPr>
      <w:r>
        <w:t xml:space="preserve">ORCID: 0009-0009-9001-8151</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freely licensed oxide slag database has been available, so users of open tools have had the model without parameters to run through it.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it reads the Thermo-Calc TDB dialect for alloys, including the Inden magnetic contribution real steel files require; and it defines uTDB, an openly specified extension carrying the MQMQA statements inside TDB grammar, demonstrated by shipped aluminum-recycling (Al-Zn alloy with its NaCl-KCl-MgCl</w:t>
      </w:r>
      <w:r>
        <w:rPr>
          <w:vertAlign w:val="subscript"/>
        </w:rPr>
        <w:t xml:space="preserve">2</w:t>
      </w:r>
      <w:r>
        <w:t xml:space="preserve"> </w:t>
      </w:r>
      <w:r>
        <w:t xml:space="preserve">salt flux) and steelmaking (Fe-C steel with its FeO-MgO-SiO</w:t>
      </w:r>
      <w:r>
        <w:rPr>
          <w:vertAlign w:val="subscript"/>
        </w:rPr>
        <w:t xml:space="preserve">2</w:t>
      </w:r>
      <w:r>
        <w:t xml:space="preserve"> </w:t>
      </w:r>
      <w:r>
        <w:t xml:space="preserve">slag) databases; one zero-install page calculates across all three containers. It computes phase equilibria up to full ternary isothermal sections and liquidus projections, and Scheil-Gulliver solidification paths on any binary join. Every energy path is validated to machine precision against pycalphad, and the magnetic model additionally against the measured pure-iron transition temperatures. The companion databases cover the CaO-SiO</w:t>
      </w:r>
      <w:r>
        <w:rPr>
          <w:vertAlign w:val="subscript"/>
        </w:rPr>
        <w:t xml:space="preserve">2</w:t>
      </w:r>
      <w:r>
        <w:t xml:space="preserve">, MgO-SiO</w:t>
      </w:r>
      <w:r>
        <w:rPr>
          <w:vertAlign w:val="subscript"/>
        </w:rPr>
        <w:t xml:space="preserve">2</w:t>
      </w:r>
      <w:r>
        <w:t xml:space="preserve">, and FeO-SiO</w:t>
      </w:r>
      <w:r>
        <w:rPr>
          <w:vertAlign w:val="subscript"/>
        </w:rPr>
        <w:t xml:space="preserve">2</w:t>
      </w:r>
      <w:r>
        <w:t xml:space="preserve"> </w:t>
      </w:r>
      <w:r>
        <w:t xml:space="preserve">liquids and the FeO-MgO-SiO</w:t>
      </w:r>
      <w:r>
        <w:rPr>
          <w:vertAlign w:val="subscript"/>
        </w:rPr>
        <w:t xml:space="preserve">2</w:t>
      </w:r>
      <w:r>
        <w:t xml:space="preserve"> </w:t>
      </w:r>
      <w:r>
        <w:t xml:space="preserve">ternary with olivine and orthopyroxene solid solutions, together with an open chloride molten-salt family from LiCl-KCl to the NaCl-KCl-MgCl</w:t>
      </w:r>
      <w:r>
        <w:rPr>
          <w:vertAlign w:val="subscript"/>
        </w:rPr>
        <w:t xml:space="preserve">2</w:t>
      </w:r>
      <w:r>
        <w:t xml:space="preserve"> </w:t>
      </w:r>
      <w:r>
        <w:t xml:space="preserve">ternary, assembled solely from published measurements with per-value provenance and documented limits. The code is MIT licensed and the databases are CC BY 4.0.</w:t>
      </w:r>
    </w:p>
    <w:p>
      <w:pPr>
        <w:pStyle w:val="BodyText"/>
      </w:pPr>
      <w:r>
        <w:rPr>
          <w:b/>
          <w:bCs/>
        </w:rPr>
        <w:t xml:space="preserve">Keywords:</w:t>
      </w:r>
      <w:r>
        <w:t xml:space="preserve"> </w:t>
      </w:r>
      <w:r>
        <w:t xml:space="preserve">CALPHAD; molten slag; molten salt; modified quasichemical model; thermodynamic database; phase diagram; WebAssembly; open data</w:t>
      </w:r>
    </w:p>
    <w:bookmarkStart w:id="698" w:name="overview"/>
    <w:p>
      <w:pPr>
        <w:pStyle w:val="Heading2"/>
      </w:pPr>
      <w:r>
        <w:t xml:space="preserve">(1) Overview</w:t>
      </w:r>
    </w:p>
    <w:bookmarkStart w:id="685"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open infrastructure has been slower to arrive.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The workflows behind these tools also shape who can use them. FactSage [4] and Thermo-Calc [13] are mature commercial suites whose module interfaces and expertly curated databases serve licensed users well, and other commercial packages follow the same shape. OpenCalphad [7] and pycalphad [8] are free engines for the code-comfortable: command files or Python sessions over TDB databases, with no graphical calculator attached. CemGEMS [14] showed a third way for cement chemistry, a free web front end whose users install nothing, though its calculations still run on a project server; the GEMS ecosystem behind it runs its own container formats entirely, so the fragmentation extends beyond CALPHAD’s two dialects. What none of them offers is a calculator that is zero-install, fully client-side, and open-data at once: a page anyone can open, load a database in either of the field’s file dialects, and calculate against, with nothing transmitted anywhere. Hephaestus takes that seat deliberately as a complement rather than a competitor. It does not chase FactSage’s breadth or Thermo-Calc’s alloy depth; it is the low-barrier door into the same published models, with open parameters behind it and a fitting loop short enough that refitting an excess term against new measurements is an interactive step.</w:t>
      </w:r>
    </w:p>
    <w:p>
      <w:pPr>
        <w:pStyle w:val="BodyText"/>
      </w:pPr>
      <w:r>
        <w:t xml:space="preserve">The container formats themselves deserve a moment, because they all serve one need, assessed Gibbs-energy functions behind a calculation, yet none reads another (Table 1). The community has begun to move on this: XTDB [15], from the OpenCalphad and NIST circle, proposes a unified successor in XML, the tagged text markup web pages are written in, and its schema already includes the MQMQA model. Its authors weighed keeping the compact human-readable TDB notation against a schema with built-in verification, and chose XML because</w:t>
      </w:r>
      <w:r>
        <w:t xml:space="preserve"> </w:t>
      </w:r>
      <w:r>
        <w:t xml:space="preserve">“even small variations of the TDB format will create problems”</w:t>
      </w:r>
      <w:r>
        <w:t xml:space="preserve"> </w:t>
      </w:r>
      <w:r>
        <w:t xml:space="preserve">[15]: they are engineering for the future toolchain. This work approaches the same goal from the installed base instead, reading both legacy dialects as they are and publishing a minimal in-place extension, uTDB, for the one model TDB lacks; the two roads are wrappers around one destination, and converting between them is mechanical. Read as a path, the formats run TDB to uTDB to XTDB, the familiar files extended in place today and translated into the XML successor once its tooling arrives.</w:t>
      </w:r>
    </w:p>
    <w:tbl>
      <w:tblPr>
        <w:tblStyle w:val="Table"/>
        <w:tblW w:type="pct" w:w="5000"/>
        <w:tblLayout w:type="fixed"/>
        <w:tblLook w:firstRow="1" w:lastRow="0" w:firstColumn="0" w:lastColumn="0" w:noHBand="0" w:noVBand="0" w:val="0020"/>
      </w:tblPr>
      <w:tblGrid>
        <w:gridCol w:w="1624"/>
        <w:gridCol w:w="3858"/>
        <w:gridCol w:w="2436"/>
      </w:tblGrid>
      <w:tr>
        <w:trPr>
          <w:cantSplit/>
          <w:tblHeader w:val="on"/>
        </w:trPr>
        <w:tc>
          <w:tcPr/>
          <w:p>
            <w:pPr>
              <w:keepNext/>
              <w:pStyle w:val="Compact"/>
            </w:pPr>
            <w:r>
              <w:t xml:space="preserve">School</w:t>
            </w:r>
          </w:p>
        </w:tc>
        <w:tc>
          <w:tcPr/>
          <w:p>
            <w:pPr>
              <w:keepNext/>
              <w:pStyle w:val="Compact"/>
            </w:pPr>
            <w:r>
              <w:t xml:space="preserve">Native containers</w:t>
            </w:r>
          </w:p>
        </w:tc>
        <w:tc>
          <w:tcPr/>
          <w:p>
            <w:pPr>
              <w:keepNext/>
              <w:pStyle w:val="Compact"/>
            </w:pPr>
            <w:r>
              <w:t xml:space="preserve">Carried by</w:t>
            </w:r>
          </w:p>
        </w:tc>
      </w:tr>
      <w:tr>
        <w:trPr>
          <w:cantSplit/>
        </w:trPr>
        <w:tc>
          <w:tcPr/>
          <w:p>
            <w:pPr>
              <w:keepNext/>
              <w:pStyle w:val="Compact"/>
            </w:pPr>
            <w:r>
              <w:t xml:space="preserve">CALPHAD, ChemSage lineage</w:t>
            </w:r>
          </w:p>
        </w:tc>
        <w:tc>
          <w:tcPr/>
          <w:p>
            <w:pPr>
              <w:keepNext/>
              <w:pStyle w:val="Compact"/>
            </w:pPr>
            <w:r>
              <w:t xml:space="preserve">ChemSage .dat</w:t>
            </w:r>
          </w:p>
        </w:tc>
        <w:tc>
          <w:tcPr/>
          <w:p>
            <w:pPr>
              <w:keepNext/>
              <w:pStyle w:val="Compact"/>
            </w:pPr>
            <w:r>
              <w:t xml:space="preserve">FactSage, ChemApp, Thermochimica; the only legacy carrier of MQMQA melts</w:t>
            </w:r>
          </w:p>
        </w:tc>
      </w:tr>
      <w:tr>
        <w:trPr>
          <w:cantSplit/>
        </w:trPr>
        <w:tc>
          <w:tcPr/>
          <w:p>
            <w:pPr>
              <w:keepNext/>
              <w:pStyle w:val="Compact"/>
            </w:pPr>
            <w:r>
              <w:t xml:space="preserve">CALPHAD, Thermo-Calc lineage</w:t>
            </w:r>
          </w:p>
        </w:tc>
        <w:tc>
          <w:tcPr/>
          <w:p>
            <w:pPr>
              <w:keepNext/>
              <w:pStyle w:val="Compact"/>
            </w:pPr>
            <w:r>
              <w:t xml:space="preserve">TDB</w:t>
            </w:r>
          </w:p>
        </w:tc>
        <w:tc>
          <w:tcPr/>
          <w:p>
            <w:pPr>
              <w:keepNext/>
              <w:pStyle w:val="Compact"/>
            </w:pPr>
            <w:r>
              <w:t xml:space="preserve">Thermo-Calc, OpenCalphad, pycalphad; alloy CEF</w:t>
            </w:r>
          </w:p>
        </w:tc>
      </w:tr>
      <w:tr>
        <w:trPr>
          <w:cantSplit/>
        </w:trPr>
        <w:tc>
          <w:tcPr/>
          <w:p>
            <w:pPr>
              <w:keepNext/>
              <w:pStyle w:val="Compact"/>
            </w:pPr>
            <w:r>
              <w:t xml:space="preserve">CALPHAD, XML successor</w:t>
            </w:r>
          </w:p>
        </w:tc>
        <w:tc>
          <w:tcPr/>
          <w:p>
            <w:pPr>
              <w:keepNext/>
              <w:pStyle w:val="Compact"/>
            </w:pPr>
            <w:r>
              <w:t xml:space="preserve">XTDB [15]</w:t>
            </w:r>
          </w:p>
        </w:tc>
        <w:tc>
          <w:tcPr/>
          <w:p>
            <w:pPr>
              <w:keepNext/>
              <w:pStyle w:val="Compact"/>
            </w:pPr>
            <w:r>
              <w:t xml:space="preserve">proposed unified schema, MQMQA included</w:t>
            </w:r>
          </w:p>
        </w:tc>
      </w:tr>
      <w:tr>
        <w:trPr>
          <w:cantSplit/>
        </w:trPr>
        <w:tc>
          <w:tcPr/>
          <w:p>
            <w:pPr>
              <w:keepNext/>
              <w:pStyle w:val="Compact"/>
            </w:pPr>
            <w:r>
              <w:t xml:space="preserve">Geochemical / aqueous</w:t>
            </w:r>
          </w:p>
        </w:tc>
        <w:tc>
          <w:tcPr/>
          <w:p>
            <w:pPr>
              <w:keepNext/>
              <w:pStyle w:val="Compact"/>
            </w:pPr>
            <w:r>
              <w:t xml:space="preserve">GEMS containers, PhreeqC data files</w:t>
            </w:r>
          </w:p>
        </w:tc>
        <w:tc>
          <w:tcPr/>
          <w:p>
            <w:pPr>
              <w:keepNext/>
              <w:pStyle w:val="Compact"/>
            </w:pPr>
            <w:r>
              <w:t xml:space="preserve">GEM-Selektor behind CemGEMS [14]; speciation models</w:t>
            </w:r>
          </w:p>
        </w:tc>
      </w:tr>
      <w:tr>
        <w:trPr>
          <w:cantSplit/>
        </w:trPr>
        <w:tc>
          <w:tcPr/>
          <w:p>
            <w:pPr>
              <w:keepNext/>
              <w:pStyle w:val="Compact"/>
            </w:pPr>
            <w:r>
              <w:t xml:space="preserve">Combustion / gas phase</w:t>
            </w:r>
          </w:p>
        </w:tc>
        <w:tc>
          <w:tcPr/>
          <w:p>
            <w:pPr>
              <w:keepNext/>
              <w:pStyle w:val="Compact"/>
            </w:pPr>
            <w:r>
              <w:t xml:space="preserve">NASA-polynomial files (CHEMKIN, Cantera)</w:t>
            </w:r>
          </w:p>
        </w:tc>
        <w:tc>
          <w:tcPr/>
          <w:p>
            <w:pPr>
              <w:keepNext/>
              <w:pStyle w:val="Compact"/>
            </w:pPr>
            <w:r>
              <w:t xml:space="preserve">ideal-gas and pure condensed species, no solution models</w:t>
            </w:r>
          </w:p>
        </w:tc>
      </w:tr>
      <w:tr>
        <w:trPr>
          <w:cantSplit/>
        </w:trPr>
        <w:tc>
          <w:tcPr/>
          <w:p>
            <w:pPr>
              <w:pStyle w:val="Compact"/>
            </w:pPr>
            <w:r>
              <w:t xml:space="preserve">First-principles era</w:t>
            </w:r>
          </w:p>
        </w:tc>
        <w:tc>
          <w:tcPr/>
          <w:p>
            <w:pPr>
              <w:pStyle w:val="Compact"/>
            </w:pPr>
            <w:r>
              <w:t xml:space="preserve">JSON records served over the web</w:t>
            </w:r>
          </w:p>
        </w:tc>
        <w:tc>
          <w:tcPr/>
          <w:p>
            <w:pPr>
              <w:pStyle w:val="Compact"/>
            </w:pPr>
            <w:r>
              <w:t xml:space="preserve">computed formation energies (Materials Project and kin)</w:t>
            </w:r>
          </w:p>
        </w:tc>
      </w:tr>
    </w:tbl>
    <w:p>
      <w:pPr>
        <w:pStyle w:val="BodyText"/>
      </w:pPr>
      <w:r>
        <w:t xml:space="preserve">Table 1: The schools of thermodynamic database containers. One need, assessed Gibbs energies behind a calculation, split across mutually unreadable families; this work reads the two CALPHAD dialects and their unified extension in one engine.</w:t>
      </w:r>
    </w:p>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 None of it asks the reader to program. For the experimentalist who never writes code, the browser application is the entire product: a page to open, a database to click, and a diagram to read. The sections that follow describe the machinery underneath for those who want it. Supplementary Material S1 is a plain-language primer for the non-programmer, starting at what a database file is and ending at a first calculation and how to read it. Its closing section teaches what an assessment is built from, so a reader who wants to contribute data for open publication, or to commission a file, arrives knowing what is needed.</w:t>
      </w:r>
    </w:p>
    <w:bookmarkEnd w:id="685"/>
    <w:bookmarkStart w:id="695"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calls the C library directly through cffi,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511838"/>
            <wp:effectExtent b="0" l="0" r="0" t="0"/>
            <wp:docPr descr="Figure 1: Architecture of Hephaestus. A single dependency-free C core reads the field’s three database dialects (ChemSage .dat, Thermo-Calc .tdb with the Inden magnetic model, and the unified .utdb) and computes all thermodynamics; the same core is used as a native library, from Python through cffi, and compiled to WebAssembly behind the browser application. dbbuild writes new ChemSage files from measured data, and every energy path is validated against pycalphad." title="" id="687" name="Picture"/>
            <a:graphic>
              <a:graphicData uri="http://schemas.openxmlformats.org/drawingml/2006/picture">
                <pic:pic>
                  <pic:nvPicPr>
                    <pic:cNvPr descr="figures/fig1_architecture.png" id="688" name="Picture"/>
                    <pic:cNvPicPr>
                      <a:picLocks noChangeArrowheads="1" noChangeAspect="1"/>
                    </pic:cNvPicPr>
                  </pic:nvPicPr>
                  <pic:blipFill>
                    <a:blip r:embed="rId686"/>
                    <a:stretch>
                      <a:fillRect/>
                    </a:stretch>
                  </pic:blipFill>
                  <pic:spPr bwMode="auto">
                    <a:xfrm>
                      <a:off x="0" y="0"/>
                      <a:ext cx="5334000" cy="3511838"/>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the field’s three database dialects (ChemSage .dat, Thermo-Calc .tdb with the Inden magnetic model, and the unified .utdb) and computes all thermodynamics; the same core is used as a native library, from Python through cffi, and compiled to WebAssembly behind the browser application.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[16], with sublattice site fractions, per-sublattice ideal entropy, and Redlich-Kister excess terms; the Gibbs energy is normalized per mole of real atoms, so vacancy-bearing phases come out on the same basis pycalphad uses. A reader for the ChemSage data format, the file lineage of the ChemSage and ChemApp equilibrium programs [17],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(the piece of code that turns a database text file into numbers an engine can use)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same core also reads the Thermo-Calc TDB dialect, the lingua franca of alloy CALPHAD shared by Thermo-Calc [13], OpenCalphad [7], and pycalphad [8]. TDB files parse into the same internal database, so the accessors, the Python layer, and the browser work unchanged, and the format is auto-detected on load. The supported subset covers elements, species, piecewise FUNCTION expressions with nested references, compound energy formalism phases with vacancies, Redlich-Kister interactions of any order, and the Inden magnetic contribution (TC and BMAGN parameters with their antiferromagnetic factors), which brings real steel files into scope; models outside the subset, such as order-disorder partitioning and the ionic two-sublattice liquid, are rejected with a stated reason rather than computed incompletely. Temperature extrapolation above a function’s last interval follows the Thermo-Calc convention for TDB data while ChemSage data keep their own zero-above convention. MQMQA liquids have no TDB representation, so melts remain the province of the .dat dialect; the two families meet in one engine.</w:t>
      </w:r>
    </w:p>
    <w:p>
      <w:pPr>
        <w:pStyle w:val="BodyText"/>
      </w:pPr>
      <w:r>
        <w:t xml:space="preserve">From Python the calculation chain is three calls, identical for either dialect:</w:t>
      </w:r>
    </w:p>
    <w:p>
      <w:pPr>
        <w:pStyle w:val="SourceCode"/>
      </w:pPr>
      <w:r>
        <w:rPr>
          <w:rStyle w:val="VerbatimChar"/>
        </w:rPr>
        <w:t xml:space="preserve">from mqmqa import Database</w:t>
      </w:r>
      <w:r>
        <w:br/>
      </w:r>
      <w:r>
        <w:rPr>
          <w:rStyle w:val="VerbatimChar"/>
        </w:rPr>
        <w:t xml:space="preserve">from mqmqa.equilibrium import build_inputs, c_equilibrate</w:t>
      </w:r>
      <w:r>
        <w:br/>
      </w:r>
      <w:r>
        <w:br/>
      </w:r>
      <w:r>
        <w:rPr>
          <w:rStyle w:val="VerbatimChar"/>
        </w:rPr>
        <w:t xml:space="preserve">db  = Database.read("FeO-MgO-SiO2-combined.dat")   # or any .tdb</w:t>
      </w:r>
      <w:r>
        <w:br/>
      </w:r>
      <w:r>
        <w:rPr>
          <w:rStyle w:val="VerbatimChar"/>
        </w:rPr>
        <w:t xml:space="preserve">inp = build_inputs(db, db.phase_index("FEO-MGO-SIO2-LIQUID"), 1873.0)</w:t>
      </w:r>
      <w:r>
        <w:br/>
      </w:r>
      <w:r>
        <w:rPr>
          <w:rStyle w:val="VerbatimChar"/>
        </w:rPr>
        <w:t xml:space="preserve">res = c_equilibrate(inp, {"FE": 0.2, "MG": 0.2, "SI": 0.2, "O": 1.4})</w:t>
      </w:r>
      <w:r>
        <w:br/>
      </w:r>
      <w:r>
        <w:rPr>
          <w:rStyle w:val="VerbatimChar"/>
        </w:rPr>
        <w:t xml:space="preserve"># res["GM"], res["X"]: molar Gibbs energy and the quadruplet distribution</w:t>
      </w:r>
    </w:p>
    <w:p>
      <w:pPr>
        <w:pStyle w:val="FirstParagraph"/>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six tools: a calculator over any loaded database (ChemSage .dat or Thermo-Calc .tdb, auto-detected, with up to three uploaded files held per session), a binary join phase-diagram tool with tap-to-read point comparison, a Scheil-Gulliver solidification panel on the same join with the equilibrium lever-rule path drawn alongside, a viewer for the assessed FeO-MgO-SiO</w:t>
      </w:r>
      <w:r>
        <w:rPr>
          <w:vertAlign w:val="subscript"/>
        </w:rPr>
        <w:t xml:space="preserve">2</w:t>
      </w:r>
      <w:r>
        <w:t xml:space="preserve"> </w:t>
      </w:r>
      <w:r>
        <w:t xml:space="preserve">diagrams, a live isothermal-section solver that calculates the full phase assemblage at a chosen temperature in about a second, for the shipped ternaries or for any loaded three-cation file (Figure 2), and an interactive eutectic builder whose component names, melting points, and fusion enthalpies pre-fill from the loaded database. Loading an alloy TDB reshapes the workspace: the elements become the end members and every compound energy formalism phase spanning the join enters the same convex hull construction.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4464799"/>
            <wp:effectExtent b="0" l="0" r="0" t="0"/>
            <wp:docPr descr="Figure 2: The live solver in the browser application (light theme). The user loads the shipped database, picks a temperature, and presses Compute; the WebAssembly engine then solves the full FeO-MgO-SiO2 phase assemblage client side (here 1023 composition samples and 512 tie-facets in under half a second). Tapping a composition reads its stable phases and pins it to a comparison list; hovering previews on desktop." title="" id="690" name="Picture"/>
            <a:graphic>
              <a:graphicData uri="http://schemas.openxmlformats.org/drawingml/2006/picture">
                <pic:pic>
                  <pic:nvPicPr>
                    <pic:cNvPr descr="figures/fig2_browser_app.png" id="691" name="Picture"/>
                    <pic:cNvPicPr>
                      <a:picLocks noChangeArrowheads="1" noChangeAspect="1"/>
                    </pic:cNvPicPr>
                  </pic:nvPicPr>
                  <pic:blipFill>
                    <a:blip r:embed="rId689"/>
                    <a:stretch>
                      <a:fillRect/>
                    </a:stretch>
                  </pic:blipFill>
                  <pic:spPr bwMode="auto">
                    <a:xfrm>
                      <a:off x="0" y="0"/>
                      <a:ext cx="4754880" cy="4464799"/>
                    </a:xfrm>
                    <a:prstGeom prst="rect">
                      <a:avLst/>
                    </a:prstGeom>
                    <a:noFill/>
                    <a:ln w="9525">
                      <a:noFill/>
                      <a:headEnd/>
                      <a:tailEnd/>
                    </a:ln>
                  </pic:spPr>
                </pic:pic>
              </a:graphicData>
            </a:graphic>
          </wp:inline>
        </w:drawing>
      </w:r>
    </w:p>
    <w:p>
      <w:pPr>
        <w:pStyle w:val="ImageCaption"/>
      </w:pPr>
      <w:r>
        <w:t xml:space="preserve">Figure 2: The live solver in the browser application (light theme).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1023 composition samples and 512 tie-facets in under half a second). Tapping a composition reads its stable phases and pins it to a comparison list; hovering previews on desktop.</w:t>
      </w:r>
    </w:p>
    <w:p>
      <w:pPr>
        <w:pStyle w:val="BodyText"/>
      </w:pPr>
      <w:r>
        <w:t xml:space="preserve">The database is the second half of the contribution. Endmember oxide thermodynamics come from open compilations, chiefly Robie and Hemingway [18] and the NIST-JANAF tables [19]. Liquid excess parameters are fitted to published measurements: Knudsen-effusion and gas-slag equilibrium activities for CaO-SiO</w:t>
      </w:r>
      <w:r>
        <w:rPr>
          <w:vertAlign w:val="subscript"/>
        </w:rPr>
        <w:t xml:space="preserve">2</w:t>
      </w:r>
      <w:r>
        <w:t xml:space="preserve"> </w:t>
      </w:r>
      <w:r>
        <w:t xml:space="preserve">[20,21], the measured iron-saturated activities collected by Björkman for FeO-SiO</w:t>
      </w:r>
      <w:r>
        <w:rPr>
          <w:vertAlign w:val="subscript"/>
        </w:rPr>
        <w:t xml:space="preserve">2</w:t>
      </w:r>
      <w:r>
        <w:t xml:space="preserve"> </w:t>
      </w:r>
      <w:r>
        <w:t xml:space="preserve">[22], and the melting and immiscibility constraints of the classical phase diagram studies [23-25]. Solution-calorimetric compound enthalpies [26] anchor the solids. Where published calorimetry cannot constrain a liquid, melt-mixing enthalpies from machine-learned interatomic potentials [27,28] serve as auxiliary anchors after bias correction against measured formation enthalpies; each such use is recorded in the provenance files. The olivine and orthopyroxene solid solutions take their endmembers from Robie and Hemingway [18] and their mixing parameters from solution calorimetry [29]. The assembled ternary reproduces the topology of the measured MgO-FeO-SiO</w:t>
      </w:r>
      <w:r>
        <w:rPr>
          <w:vertAlign w:val="subscript"/>
        </w:rPr>
        <w:t xml:space="preserve">2</w:t>
      </w:r>
      <w:r>
        <w:t xml:space="preserve"> </w:t>
      </w:r>
      <w:r>
        <w:t xml:space="preserve">liquidus surface [23], with the olivine field quantitative and the known offsets stated. No parameter is taken from any prior assessment or commercial database; published assessments of these systems [30] are used only as method literature. The same engine and file format also serve molten salts: the repository ships an open chloride family alongside the slags (LiCl-KCl, NaCl-KCl with its continuous halite solid solution, KCl-MgCl</w:t>
      </w:r>
      <w:r>
        <w:rPr>
          <w:vertAlign w:val="subscript"/>
        </w:rPr>
        <w:t xml:space="preserve">2</w:t>
      </w:r>
      <w:r>
        <w:t xml:space="preserve"> </w:t>
      </w:r>
      <w:r>
        <w:t xml:space="preserve">with the double salt KMgCl</w:t>
      </w:r>
      <w:r>
        <w:rPr>
          <w:vertAlign w:val="subscript"/>
        </w:rPr>
        <w:t xml:space="preserve">3</w:t>
      </w:r>
      <w:r>
        <w:t xml:space="preserve">, NaCl-MgCl</w:t>
      </w:r>
      <w:r>
        <w:rPr>
          <w:vertAlign w:val="subscript"/>
        </w:rPr>
        <w:t xml:space="preserve">2</w:t>
      </w:r>
      <w:r>
        <w:t xml:space="preserve">, and the assembled NaCl-KCl-MgCl</w:t>
      </w:r>
      <w:r>
        <w:rPr>
          <w:vertAlign w:val="subscript"/>
        </w:rPr>
        <w:t xml:space="preserve">2</w:t>
      </w:r>
      <w:r>
        <w:t xml:space="preserve"> </w:t>
      </w:r>
      <w:r>
        <w:t xml:space="preserve">ternary), built the same way from evaluated endmember tables [31], measured mixing calorimetry [32], and the measured eutectic, liquidus, and solvus record of the halide literature [33], and loadable in the browser application with one click.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2 summarizes each fitted liquid, the data behind it, and what it reproduces. The code is MIT licensed at the repository root and the database directory carries its own CC BY 4.0 license.</w:t>
      </w:r>
    </w:p>
    <w:p>
      <w:pPr>
        <w:pStyle w:val="CaptionedFigure"/>
      </w:pPr>
      <w:r>
        <w:drawing>
          <wp:inline>
            <wp:extent cx="5334000" cy="2416336"/>
            <wp:effectExtent b="0" l="0" r="0" t="0"/>
            <wp:docPr descr="Figure 3: The assessed FeO-MgO-SiO2 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 title="" id="693" name="Picture"/>
            <a:graphic>
              <a:graphicData uri="http://schemas.openxmlformats.org/drawingml/2006/picture">
                <pic:pic>
                  <pic:nvPicPr>
                    <pic:cNvPr descr="figures/fig3_ternary.png" id="694" name="Picture"/>
                    <pic:cNvPicPr>
                      <a:picLocks noChangeArrowheads="1" noChangeAspect="1"/>
                    </pic:cNvPicPr>
                  </pic:nvPicPr>
                  <pic:blipFill>
                    <a:blip r:embed="rId692"/>
                    <a:stretch>
                      <a:fillRect/>
                    </a:stretch>
                  </pic:blipFill>
                  <pic:spPr bwMode="auto">
                    <a:xfrm>
                      <a:off x="0" y="0"/>
                      <a:ext cx="5334000" cy="2416336"/>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keepNext/>
              <w:pStyle w:val="Compact"/>
            </w:pPr>
            <w:r>
              <w:t xml:space="preserve">System</w:t>
            </w:r>
          </w:p>
        </w:tc>
        <w:tc>
          <w:tcPr/>
          <w:p>
            <w:pPr>
              <w:keepNext/>
              <w:pStyle w:val="Compact"/>
            </w:pPr>
            <w:r>
              <w:t xml:space="preserve">Fitted liquid excess (J/mol)</w:t>
            </w:r>
          </w:p>
        </w:tc>
        <w:tc>
          <w:tcPr/>
          <w:p>
            <w:pPr>
              <w:keepNext/>
              <w:pStyle w:val="Compact"/>
            </w:pPr>
            <w:r>
              <w:t xml:space="preserve">Fitted to</w:t>
            </w:r>
          </w:p>
        </w:tc>
        <w:tc>
          <w:tcPr/>
          <w:p>
            <w:pPr>
              <w:keepNext/>
              <w:pStyle w:val="Compact"/>
            </w:pPr>
            <w:r>
              <w:t xml:space="preserve">Reproduces; known limit</w:t>
            </w:r>
          </w:p>
        </w:tc>
      </w:tr>
      <w:tr>
        <w:trPr>
          <w:cantSplit/>
        </w:trPr>
        <w:tc>
          <w:tcPr/>
          <w:p>
            <w:pPr>
              <w:keepNext/>
              <w:pStyle w:val="Compact"/>
            </w:pPr>
            <w:r>
              <w:t xml:space="preserve">CaO-SiO</w:t>
            </w:r>
            <w:r>
              <w:rPr>
                <w:vertAlign w:val="subscript"/>
              </w:rPr>
              <w:t xml:space="preserve">2</w:t>
            </w:r>
          </w:p>
        </w:tc>
        <w:tc>
          <w:tcPr/>
          <w:p>
            <w:pPr>
              <w:keepNext/>
              <w:pStyle w:val="Compact"/>
            </w:pPr>
            <w:r>
              <w:t xml:space="preserve">(-189764 + 15.71 T) + 57171 χ</w:t>
            </w:r>
            <w:r>
              <w:rPr>
                <w:vertAlign w:val="subscript"/>
              </w:rPr>
              <w:t xml:space="preserve">Ca</w:t>
            </w:r>
          </w:p>
        </w:tc>
        <w:tc>
          <w:tcPr/>
          <w:p>
            <w:pPr>
              <w:keepNext/>
              <w:pStyle w:val="Compact"/>
            </w:pPr>
            <w:r>
              <w:t xml:space="preserve">silica activities [20,21]; bias-corrected melt-mixing enthalpies [27,28]; endmember and compound melting</w:t>
            </w:r>
          </w:p>
        </w:tc>
        <w:tc>
          <w:tcPr/>
          <w:p>
            <w:pPr>
              <w:keepNext/>
              <w:pStyle w:val="Compact"/>
            </w:pPr>
            <w:r>
              <w:t xml:space="preserve">mixing enthalpy near -58 kJ/mol at the metasilicate; silica-rich miscibility gap at the right composition but high in temperature</w:t>
            </w:r>
          </w:p>
        </w:tc>
      </w:tr>
      <w:tr>
        <w:trPr>
          <w:cantSplit/>
        </w:trPr>
        <w:tc>
          <w:tcPr/>
          <w:p>
            <w:pPr>
              <w:keepNext/>
              <w:pStyle w:val="Compact"/>
            </w:pPr>
            <w:r>
              <w:t xml:space="preserve">MgO-SiO</w:t>
            </w:r>
            <w:r>
              <w:rPr>
                <w:vertAlign w:val="subscript"/>
              </w:rPr>
              <w:t xml:space="preserve">2</w:t>
            </w:r>
          </w:p>
        </w:tc>
        <w:tc>
          <w:tcPr/>
          <w:p>
            <w:pPr>
              <w:keepNext/>
              <w:pStyle w:val="Compact"/>
            </w:pPr>
            <w:r>
              <w:t xml:space="preserve">five terms in the equivalent fraction Y</w:t>
            </w:r>
            <w:r>
              <w:rPr>
                <w:vertAlign w:val="subscript"/>
              </w:rPr>
              <w:t xml:space="preserve">SiO2</w:t>
            </w:r>
            <w:r>
              <w:t xml:space="preserve">, each a + b T</w:t>
            </w:r>
          </w:p>
        </w:tc>
        <w:tc>
          <w:tcPr/>
          <w:p>
            <w:pPr>
              <w:keepNext/>
              <w:pStyle w:val="Compact"/>
            </w:pPr>
            <w:r>
              <w:t xml:space="preserve">measured invariants and immiscibility data [24,25] from five studies, the measured consolute, and solution calorimetry [26]</w:t>
            </w:r>
          </w:p>
        </w:tc>
        <w:tc>
          <w:tcPr/>
          <w:p>
            <w:pPr>
              <w:keepNext/>
              <w:pStyle w:val="Compact"/>
            </w:pPr>
            <w:r>
              <w:t xml:space="preserve">all four invariants within about 40 °C; calorimetry matched; stable two-liquid field about 340 °C high</w:t>
            </w:r>
          </w:p>
        </w:tc>
      </w:tr>
      <w:tr>
        <w:trPr>
          <w:cantSplit/>
        </w:trPr>
        <w:tc>
          <w:tcPr/>
          <w:p>
            <w:pPr>
              <w:keepNext/>
              <w:pStyle w:val="Compact"/>
            </w:pPr>
            <w:r>
              <w:t xml:space="preserve">FeO-SiO</w:t>
            </w:r>
            <w:r>
              <w:rPr>
                <w:vertAlign w:val="subscript"/>
              </w:rPr>
              <w:t xml:space="preserve">2</w:t>
            </w:r>
          </w:p>
        </w:tc>
        <w:tc>
          <w:tcPr/>
          <w:p>
            <w:pPr>
              <w:keepNext/>
              <w:pStyle w:val="Compact"/>
            </w:pPr>
            <w:r>
              <w:t xml:space="preserve">-42839 + 17.83 T</w:t>
            </w:r>
          </w:p>
        </w:tc>
        <w:tc>
          <w:tcPr/>
          <w:p>
            <w:pPr>
              <w:keepNext/>
              <w:pStyle w:val="Compact"/>
            </w:pPr>
            <w:r>
              <w:t xml:space="preserve">23 iron-saturated activities across two isotherms [22]</w:t>
            </w:r>
          </w:p>
        </w:tc>
        <w:tc>
          <w:tcPr/>
          <w:p>
            <w:pPr>
              <w:keepNext/>
              <w:pStyle w:val="Compact"/>
            </w:pPr>
            <w:r>
              <w:t xml:space="preserve">RMS ln a = 0.067; fayalite congruent melting within a few degrees</w:t>
            </w:r>
          </w:p>
        </w:tc>
      </w:tr>
      <w:tr>
        <w:trPr>
          <w:cantSplit/>
        </w:trPr>
        <w:tc>
          <w:tcPr/>
          <w:p>
            <w:pPr>
              <w:pStyle w:val="Compact"/>
            </w:pPr>
            <w:r>
              <w:t xml:space="preserve">FeO-MgO-SiO</w:t>
            </w:r>
            <w:r>
              <w:rPr>
                <w:vertAlign w:val="subscript"/>
              </w:rPr>
              <w:t xml:space="preserve">2</w:t>
            </w:r>
          </w:p>
        </w:tc>
        <w:tc>
          <w:tcPr/>
          <w:p>
            <w:pPr>
              <w:pStyle w:val="Compact"/>
            </w:pPr>
            <w:r>
              <w:t xml:space="preserve">binaries combined; no ternary term</w:t>
            </w:r>
          </w:p>
        </w:tc>
        <w:tc>
          <w:tcPr/>
          <w:p>
            <w:pPr>
              <w:pStyle w:val="Compact"/>
            </w:pPr>
            <w:r>
              <w:t xml:space="preserve">assembled from the binaries with olivine and orthopyroxene solutions [18,29]</w:t>
            </w:r>
          </w:p>
        </w:tc>
        <w:tc>
          <w:tcPr/>
          <w:p>
            <w:pPr>
              <w:pStyle w:val="Compact"/>
            </w:pPr>
            <w:r>
              <w:t xml:space="preserve">measured liquidus-surface topology [23]; stable phase sets match pycalphad at 15 of 16 points</w:t>
            </w:r>
          </w:p>
        </w:tc>
      </w:tr>
    </w:tbl>
    <w:p>
      <w:pPr>
        <w:pStyle w:val="BodyText"/>
      </w:pPr>
      <w:r>
        <w:t xml:space="preserve">Table 2: The assessed liquids. Full source lists, modeling judgments, and limits are in each system’s provenance file in the repository.</w:t>
      </w:r>
    </w:p>
    <w:bookmarkEnd w:id="695"/>
    <w:bookmarkStart w:id="696"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696"/>
    <w:bookmarkStart w:id="697" w:name="quality-control"/>
    <w:p>
      <w:pPr>
        <w:pStyle w:val="Heading3"/>
      </w:pPr>
      <w:r>
        <w:t xml:space="preserve">Quality control</w:t>
      </w:r>
    </w:p>
    <w:p>
      <w:pPr>
        <w:pStyle w:val="FirstParagraph"/>
      </w:pPr>
      <w:r>
        <w:t xml:space="preserve">pycalphad is the validation oracle throughout, on the principle that nothing is claimed working until it matches an independent implementation; Table 3 lists the checks. The test suite, 104 tests run with pytest, checks every energy contribution against pycalphad on shared parameters to machine precision, near 10</w:t>
      </w:r>
      <w:r>
        <w:rPr>
          <w:vertAlign w:val="superscript"/>
        </w:rPr>
        <w:t xml:space="preserve">-10</w:t>
      </w:r>
      <w:r>
        <w:t xml:space="preserve"> </w:t>
      </w:r>
      <w:r>
        <w:t xml:space="preserve">J per mole of atoms. The reader is tested by loading pycalphad’s open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 The TDB front-end is validated the same way, with pycalphad’s own shipped test databases as the corpus: the subset-compatible alloy systems (Al-Zn, Pb-Sn, Al-Mg) load, and every solution phase matches pycalphad’s Gibbs energy at random site fractions and temperatures to about 10</w:t>
      </w:r>
      <w:r>
        <w:rPr>
          <w:vertAlign w:val="superscript"/>
        </w:rPr>
        <w:t xml:space="preserve">-10</w:t>
      </w:r>
      <w:r>
        <w:t xml:space="preserve"> </w:t>
      </w:r>
      <w:r>
        <w:t xml:space="preserve">J per mole of atoms, line compounds included, while out-of-subset files must fail with the stated reason, and the suite asserts those failures too. The magnetic model is checked twice over: pycalphad parity on its own magnetic test database and on an own-transcribed Fe-C system, whose pure-iron transitions, carried almost entirely by the magnetic term, come out at 1185, 1668, and 1811 K against the measured 1184.8, 1667.5, and 1811. The Scheil panel is checked against known invariants: for Al-Zn at 30 mol% Zn it nucleates FCC_A1 at 836 K and freezes the 12.5% residue within one temperature step of the assessed 654 K eutectic [34]; for LiCl-KCl the residue freezes at 629 K against the measured 626 K.</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pPr>
            <w:r>
              <w:t xml:space="preserve">Check</w:t>
            </w:r>
          </w:p>
        </w:tc>
        <w:tc>
          <w:tcPr/>
          <w:p>
            <w:pPr>
              <w:keepNext/>
              <w:pStyle w:val="Compact"/>
            </w:pPr>
            <w:r>
              <w:t xml:space="preserve">Scope</w:t>
            </w:r>
          </w:p>
        </w:tc>
        <w:tc>
          <w:tcPr/>
          <w:p>
            <w:pPr>
              <w:keepNext/>
              <w:pStyle w:val="Compact"/>
            </w:pPr>
            <w:r>
              <w:t xml:space="preserve">Agreement</w:t>
            </w:r>
          </w:p>
        </w:tc>
      </w:tr>
      <w:tr>
        <w:trPr>
          <w:cantSplit/>
        </w:trPr>
        <w:tc>
          <w:tcPr/>
          <w:p>
            <w:pPr>
              <w:keepNext/>
              <w:pStyle w:val="Compact"/>
            </w:pPr>
            <w:r>
              <w:t xml:space="preserve">Energy paths (MQMQA reference, ideal, excess; CEF; stoichiometric)</w:t>
            </w:r>
          </w:p>
        </w:tc>
        <w:tc>
          <w:tcPr/>
          <w:p>
            <w:pPr>
              <w:keepNext/>
              <w:pStyle w:val="Compact"/>
            </w:pPr>
            <w:r>
              <w:t xml:space="preserve">shared parameter sets, every phase model</w:t>
            </w:r>
          </w:p>
        </w:tc>
        <w:tc>
          <w:tcPr/>
          <w:p>
            <w:pPr>
              <w:keepNext/>
              <w:pStyle w:val="Compact"/>
            </w:pPr>
            <w:r>
              <w:t xml:space="preserve">~10</w:t>
            </w:r>
            <w:r>
              <w:rPr>
                <w:vertAlign w:val="superscript"/>
              </w:rPr>
              <w:t xml:space="preserve">-10</w:t>
            </w:r>
            <w:r>
              <w:t xml:space="preserve"> </w:t>
            </w:r>
            <w:r>
              <w:t xml:space="preserve">J per mole of atoms</w:t>
            </w:r>
          </w:p>
        </w:tc>
      </w:tr>
      <w:tr>
        <w:trPr>
          <w:cantSplit/>
        </w:trPr>
        <w:tc>
          <w:tcPr/>
          <w:p>
            <w:pPr>
              <w:keepNext/>
              <w:pStyle w:val="Compact"/>
            </w:pPr>
            <w:r>
              <w:t xml:space="preserve">ChemSage reader</w:t>
            </w:r>
          </w:p>
        </w:tc>
        <w:tc>
          <w:tcPr/>
          <w:p>
            <w:pPr>
              <w:keepNext/>
              <w:pStyle w:val="Compact"/>
            </w:pPr>
            <w:r>
              <w:t xml:space="preserve">pycalphad’s open test databases, no pycalphad at runtime</w:t>
            </w:r>
          </w:p>
        </w:tc>
        <w:tc>
          <w:tcPr/>
          <w:p>
            <w:pPr>
              <w:keepNext/>
              <w:pStyle w:val="Compact"/>
            </w:pPr>
            <w:r>
              <w:t xml:space="preserve">energies reproduced to machine precision</w:t>
            </w:r>
          </w:p>
        </w:tc>
      </w:tr>
      <w:tr>
        <w:trPr>
          <w:cantSplit/>
        </w:trPr>
        <w:tc>
          <w:tcPr/>
          <w:p>
            <w:pPr>
              <w:keepNext/>
              <w:pStyle w:val="Compact"/>
            </w:pPr>
            <w:r>
              <w:t xml:space="preserve">CEF kernel</w:t>
            </w:r>
          </w:p>
        </w:tc>
        <w:tc>
          <w:tcPr/>
          <w:p>
            <w:pPr>
              <w:keepNext/>
              <w:pStyle w:val="Compact"/>
            </w:pPr>
            <w:r>
              <w:t xml:space="preserve">multicomponent industrial file with charges, vacancies, ln T terms</w:t>
            </w:r>
          </w:p>
        </w:tc>
        <w:tc>
          <w:tcPr/>
          <w:p>
            <w:pPr>
              <w:keepNext/>
              <w:pStyle w:val="Compact"/>
            </w:pPr>
            <w:r>
              <w:t xml:space="preserve">machine precision</w:t>
            </w:r>
          </w:p>
        </w:tc>
      </w:tr>
      <w:tr>
        <w:trPr>
          <w:cantSplit/>
        </w:trPr>
        <w:tc>
          <w:tcPr/>
          <w:p>
            <w:pPr>
              <w:keepNext/>
              <w:pStyle w:val="Compact"/>
            </w:pPr>
            <w:r>
              <w:t xml:space="preserve">Multiphase equilibrium</w:t>
            </w:r>
          </w:p>
        </w:tc>
        <w:tc>
          <w:tcPr/>
          <w:p>
            <w:pPr>
              <w:keepNext/>
              <w:pStyle w:val="Compact"/>
            </w:pPr>
            <w:r>
              <w:t xml:space="preserve">liquid + two solid solutions + three oxides, 16 probe points</w:t>
            </w:r>
          </w:p>
        </w:tc>
        <w:tc>
          <w:tcPr/>
          <w:p>
            <w:pPr>
              <w:keepNext/>
              <w:pStyle w:val="Compact"/>
            </w:pPr>
            <w:r>
              <w:t xml:space="preserve">phase sets at 15 of 16; Gibbs energies within ~10 J per mole of atoms</w:t>
            </w:r>
          </w:p>
        </w:tc>
      </w:tr>
      <w:tr>
        <w:trPr>
          <w:cantSplit/>
        </w:trPr>
        <w:tc>
          <w:tcPr/>
          <w:p>
            <w:pPr>
              <w:keepNext/>
              <w:pStyle w:val="Compact"/>
            </w:pPr>
            <w:r>
              <w:t xml:space="preserve">WebAssembly build</w:t>
            </w:r>
          </w:p>
        </w:tc>
        <w:tc>
          <w:tcPr/>
          <w:p>
            <w:pPr>
              <w:keepNext/>
              <w:pStyle w:val="Compact"/>
            </w:pPr>
            <w:r>
              <w:t xml:space="preserve">in-browser against the same oracle values</w:t>
            </w:r>
          </w:p>
        </w:tc>
        <w:tc>
          <w:tcPr/>
          <w:p>
            <w:pPr>
              <w:keepNext/>
              <w:pStyle w:val="Compact"/>
            </w:pPr>
            <w:r>
              <w:t xml:space="preserve">machine precision</w:t>
            </w:r>
          </w:p>
        </w:tc>
      </w:tr>
      <w:tr>
        <w:trPr>
          <w:cantSplit/>
        </w:trPr>
        <w:tc>
          <w:tcPr/>
          <w:p>
            <w:pPr>
              <w:keepNext/>
              <w:pStyle w:val="Compact"/>
            </w:pPr>
            <w:r>
              <w:t xml:space="preserve">TDB reader</w:t>
            </w:r>
          </w:p>
        </w:tc>
        <w:tc>
          <w:tcPr/>
          <w:p>
            <w:pPr>
              <w:keepNext/>
              <w:pStyle w:val="Compact"/>
            </w:pPr>
            <w:r>
              <w:t xml:space="preserve">pycalphad’s shipped alloy TDBs (Al-Zn, Pb-Sn, Al-Mg), every phase and line compound</w:t>
            </w:r>
          </w:p>
        </w:tc>
        <w:tc>
          <w:tcPr/>
          <w:p>
            <w:pPr>
              <w:keepNext/>
              <w:pStyle w:val="Compact"/>
            </w:pPr>
            <w:r>
              <w:t xml:space="preserve">~10</w:t>
            </w:r>
            <w:r>
              <w:rPr>
                <w:vertAlign w:val="superscript"/>
              </w:rPr>
              <w:t xml:space="preserve">-10</w:t>
            </w:r>
            <w:r>
              <w:t xml:space="preserve"> </w:t>
            </w:r>
            <w:r>
              <w:t xml:space="preserve">J per mole of atoms</w:t>
            </w:r>
          </w:p>
        </w:tc>
      </w:tr>
      <w:tr>
        <w:trPr>
          <w:cantSplit/>
        </w:trPr>
        <w:tc>
          <w:tcPr/>
          <w:p>
            <w:pPr>
              <w:keepNext/>
              <w:pStyle w:val="Compact"/>
            </w:pPr>
            <w:r>
              <w:t xml:space="preserve">TDB magnetic model</w:t>
            </w:r>
          </w:p>
        </w:tc>
        <w:tc>
          <w:tcPr/>
          <w:p>
            <w:pPr>
              <w:keepNext/>
              <w:pStyle w:val="Compact"/>
            </w:pPr>
            <w:r>
              <w:t xml:space="preserve">pycalphad parity + measured pure-iron transitions</w:t>
            </w:r>
          </w:p>
        </w:tc>
        <w:tc>
          <w:tcPr/>
          <w:p>
            <w:pPr>
              <w:keepNext/>
              <w:pStyle w:val="Compact"/>
            </w:pPr>
            <w:r>
              <w:t xml:space="preserve">matches to 10</w:t>
            </w:r>
            <w:r>
              <w:rPr>
                <w:vertAlign w:val="superscript"/>
              </w:rPr>
              <w:t xml:space="preserve">-10</w:t>
            </w:r>
            <w:r>
              <w:t xml:space="preserve">; 1185/1668/1811 K</w:t>
            </w:r>
          </w:p>
        </w:tc>
      </w:tr>
      <w:tr>
        <w:trPr>
          <w:cantSplit/>
        </w:trPr>
        <w:tc>
          <w:tcPr/>
          <w:p>
            <w:pPr>
              <w:pStyle w:val="Compact"/>
            </w:pPr>
            <w:r>
              <w:t xml:space="preserve">TDB scope guard</w:t>
            </w:r>
          </w:p>
        </w:tc>
        <w:tc>
          <w:tcPr/>
          <w:p>
            <w:pPr>
              <w:pStyle w:val="Compact"/>
            </w:pPr>
            <w:r>
              <w:t xml:space="preserve">ionic-liquid and order-disorder test files</w:t>
            </w:r>
          </w:p>
        </w:tc>
        <w:tc>
          <w:tcPr/>
          <w:p>
            <w:pPr>
              <w:pStyle w:val="Compact"/>
            </w:pPr>
            <w:r>
              <w:t xml:space="preserve">rejected, with the reason asserted</w:t>
            </w:r>
          </w:p>
        </w:tc>
      </w:tr>
    </w:tbl>
    <w:p>
      <w:pPr>
        <w:pStyle w:val="BodyText"/>
      </w:pPr>
      <w:r>
        <w:t xml:space="preserve">Table 3: Validation against the independent oracle. Every check runs in the pytest suite except the in-browser one, which is exercised manually per release.</w:t>
      </w:r>
    </w:p>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[22], and the fitting route itself is regression-tested by re-deriving those published parameters from the raw data. Congruent melting of fayalite and forsterite lands within a few degrees of measurement, assessed MgO-SiO</w:t>
      </w:r>
      <w:r>
        <w:rPr>
          <w:vertAlign w:val="subscript"/>
        </w:rPr>
        <w:t xml:space="preserve">2</w:t>
      </w:r>
      <w:r>
        <w:t xml:space="preserve"> </w:t>
      </w:r>
      <w:r>
        <w:t xml:space="preserve">invariants sit within about 40 °C, and the ternary liquidus projection reproduces the measured field topology [23]. Development practice is plain: the repository is version controlled with tagged releases (v0.1.0 through the v0.4.0 described here), the full suite runs before every release, and a fixed bug lands together with the regression test that would have caught it.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697"/>
    <w:bookmarkEnd w:id="698"/>
    <w:bookmarkStart w:id="706" w:name="availability"/>
    <w:p>
      <w:pPr>
        <w:pStyle w:val="Heading2"/>
      </w:pPr>
      <w:r>
        <w:t xml:space="preserve">(2) Availability</w:t>
      </w:r>
    </w:p>
    <w:bookmarkStart w:id="699"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699"/>
    <w:bookmarkStart w:id="700"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700"/>
    <w:bookmarkStart w:id="701"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701"/>
    <w:bookmarkStart w:id="702" w:name="dependencies"/>
    <w:p>
      <w:pPr>
        <w:pStyle w:val="Heading3"/>
      </w:pPr>
      <w:r>
        <w:t xml:space="preserve">Dependencies</w:t>
      </w:r>
    </w:p>
    <w:p>
      <w:pPr>
        <w:pStyle w:val="FirstParagraph"/>
      </w:pPr>
      <w:r>
        <w:t xml:space="preserve">Python interface: cffi, NumPy, SciPy. Validation suite additionally requires pycalphad. WebAssembly build requires emscripten. The C core and the browser application have no dependencies.</w:t>
      </w:r>
    </w:p>
    <w:bookmarkEnd w:id="702"/>
    <w:bookmarkStart w:id="703" w:name="list-of-contributors"/>
    <w:p>
      <w:pPr>
        <w:pStyle w:val="Heading3"/>
      </w:pPr>
      <w:r>
        <w:t xml:space="preserve">List of contributors</w:t>
      </w:r>
    </w:p>
    <w:p>
      <w:pPr>
        <w:pStyle w:val="FirstParagraph"/>
      </w:pPr>
      <w:r>
        <w:t xml:space="preserve">Michael E. Bustamante (design, implementation, validation, data curation).</w:t>
      </w:r>
    </w:p>
    <w:bookmarkEnd w:id="703"/>
    <w:bookmarkStart w:id="704"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https://github.com/odinzen/hephaestus-mqmqa-public/releases/tag/v0.4.0</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v0.4.0</w:t>
      </w:r>
    </w:p>
    <w:p>
      <w:pPr>
        <w:pStyle w:val="Compact"/>
        <w:numPr>
          <w:ilvl w:val="0"/>
          <w:numId w:val="1001"/>
        </w:numPr>
      </w:pPr>
      <w:r>
        <w:t xml:space="preserve">Date published: 2026-09-02</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2026-09-02</w:t>
      </w:r>
    </w:p>
    <w:bookmarkEnd w:id="704"/>
    <w:bookmarkStart w:id="705" w:name="language"/>
    <w:p>
      <w:pPr>
        <w:pStyle w:val="Heading3"/>
      </w:pPr>
      <w:r>
        <w:t xml:space="preserve">Language</w:t>
      </w:r>
    </w:p>
    <w:p>
      <w:pPr>
        <w:pStyle w:val="FirstParagraph"/>
      </w:pPr>
      <w:r>
        <w:t xml:space="preserve">English.</w:t>
      </w:r>
    </w:p>
    <w:bookmarkEnd w:id="705"/>
    <w:bookmarkEnd w:id="706"/>
    <w:bookmarkStart w:id="714" w:name="reuse-potential"/>
    <w:p>
      <w:pPr>
        <w:pStyle w:val="Heading2"/>
      </w:pPr>
      <w:r>
        <w:t xml:space="preserve">(3) Reuse potential</w:t>
      </w:r>
    </w:p>
    <w:p>
      <w:pPr>
        <w:pStyle w:val="FirstParagraph"/>
      </w:pPr>
      <w:r>
        <w:t xml:space="preserve">The nearest reuse is interoperation. Hephaestus reads the same ChemSage format pycalphad reads, and files written by dbbuild load in both, which the tests enforce. A group already working in pycalphad can treat the database as input data and ignore the engine. A group that needs a small embeddable solver can take the C core, two source directories with no dependencies, and call it from C, Python, or anything with a C foreign-function interface.</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bookmarkStart w:id="713" w:name="worked-examples"/>
    <w:p>
      <w:pPr>
        <w:pStyle w:val="Heading3"/>
      </w:pPr>
      <w:r>
        <w:t xml:space="preserve">Worked examples</w:t>
      </w:r>
    </w:p>
    <w:p>
      <w:pPr>
        <w:pStyle w:val="FirstParagraph"/>
      </w:pPr>
      <w:r>
        <w:t xml:space="preserve">Two complete sessions show the public API end to end; both run against the shipped files exactly as printed and produce the figures shown. The salt session computes the LiCl-KCl phase diagram:</w:t>
      </w:r>
    </w:p>
    <w:p>
      <w:pPr>
        <w:pStyle w:val="SourceCode"/>
      </w:pPr>
      <w:r>
        <w:rPr>
          <w:rStyle w:val="VerbatimChar"/>
        </w:rPr>
        <w:t xml:space="preserve">from mqmqa import Database</w:t>
      </w:r>
      <w:r>
        <w:br/>
      </w:r>
      <w:r>
        <w:rPr>
          <w:rStyle w:val="VerbatimChar"/>
        </w:rPr>
        <w:t xml:space="preserve">from mqmqa.equilibrium import build_inputs, multiphase_binary</w:t>
      </w:r>
      <w:r>
        <w:br/>
      </w:r>
      <w:r>
        <w:br/>
      </w:r>
      <w:r>
        <w:rPr>
          <w:rStyle w:val="VerbatimChar"/>
        </w:rPr>
        <w:t xml:space="preserve">db  = Database.read("web/LiCl-KCl.dat")            # the file the browser app ships</w:t>
      </w:r>
      <w:r>
        <w:br/>
      </w:r>
      <w:r>
        <w:rPr>
          <w:rStyle w:val="VerbatimChar"/>
        </w:rPr>
        <w:t xml:space="preserve">liq = db.phase_index("LICL-KCL-LIQUID")</w:t>
      </w:r>
      <w:r>
        <w:br/>
      </w:r>
      <w:r>
        <w:rPr>
          <w:rStyle w:val="VerbatimChar"/>
        </w:rPr>
        <w:t xml:space="preserve">LiCl, KCl = {"LI": 1, "CL": 1}, {"K": 1, "CL": 1}  # endmember element compositions</w:t>
      </w:r>
      <w:r>
        <w:br/>
      </w:r>
      <w:r>
        <w:br/>
      </w:r>
      <w:r>
        <w:rPr>
          <w:rStyle w:val="VerbatimChar"/>
        </w:rPr>
        <w:t xml:space="preserve">diagram = []</w:t>
      </w:r>
      <w:r>
        <w:br/>
      </w:r>
      <w:r>
        <w:rPr>
          <w:rStyle w:val="VerbatimChar"/>
        </w:rPr>
        <w:t xml:space="preserve">for T in np.arange(500.0, 1101.0, 10.0):</w:t>
      </w:r>
      <w:r>
        <w:br/>
      </w:r>
      <w:r>
        <w:rPr>
          <w:rStyle w:val="VerbatimChar"/>
        </w:rPr>
        <w:t xml:space="preserve">    inp    = build_inputs(db, liq, T)              # liquid model at this temperature</w:t>
      </w:r>
      <w:r>
        <w:br/>
      </w:r>
      <w:r>
        <w:rPr>
          <w:rStyle w:val="VerbatimChar"/>
        </w:rPr>
        <w:t xml:space="preserve">    solids = [(0.0, db.stoich_gibbs(0, T), "LiCl(s)"),</w:t>
      </w:r>
      <w:r>
        <w:br/>
      </w:r>
      <w:r>
        <w:rPr>
          <w:rStyle w:val="VerbatimChar"/>
        </w:rPr>
        <w:t xml:space="preserve">              (1.0, db.stoich_gibbs(1, T), "KCl(s)")]</w:t>
      </w:r>
      <w:r>
        <w:br/>
      </w:r>
      <w:r>
        <w:rPr>
          <w:rStyle w:val="VerbatimChar"/>
        </w:rPr>
        <w:t xml:space="preserve">    for xi in np.arange(0.025, 1.0, 0.025):        # xi = mole fraction KCl</w:t>
      </w:r>
      <w:r>
        <w:br/>
      </w:r>
      <w:r>
        <w:rPr>
          <w:rStyle w:val="VerbatimChar"/>
        </w:rPr>
        <w:t xml:space="preserve">        state = multiphase_binary(inp, LiCl, KCl, solids, xi, ngrid=80)</w:t>
      </w:r>
      <w:r>
        <w:br/>
      </w:r>
      <w:r>
        <w:rPr>
          <w:rStyle w:val="VerbatimChar"/>
        </w:rPr>
        <w:t xml:space="preserve">        diagram.append((xi, T, "+".join(sorted(state["phases"]))))</w:t>
      </w:r>
      <w:r>
        <w:br/>
      </w:r>
      <w:r>
        <w:br/>
      </w:r>
      <w:r>
        <w:rPr>
          <w:rStyle w:val="VerbatimChar"/>
        </w:rPr>
        <w:t xml:space="preserve">liquid_only = [(T, xi) for xi, T, ph in diagram if ph == "LIQUID"]</w:t>
      </w:r>
      <w:r>
        <w:br/>
      </w:r>
      <w:r>
        <w:rPr>
          <w:rStyle w:val="VerbatimChar"/>
        </w:rPr>
        <w:t xml:space="preserve">Te, xe = min(liquid_only)                          # coldest all-liquid point = eutectic</w:t>
      </w:r>
    </w:p>
    <w:p>
      <w:pPr>
        <w:pStyle w:val="FirstParagraph"/>
      </w:pPr>
      <w:r>
        <w:t xml:space="preserve">The listing prints its eutectic at x</w:t>
      </w:r>
      <w:r>
        <w:rPr>
          <w:vertAlign w:val="subscript"/>
        </w:rPr>
        <w:t xml:space="preserve">KCl</w:t>
      </w:r>
      <w:r>
        <w:t xml:space="preserve"> </w:t>
      </w:r>
      <w:r>
        <w:t xml:space="preserve">= 0.400 and 640 K on this deliberately coarse grid, against the measured 0.415 and 626 K; Figure 4 is the diagram it draws.</w:t>
      </w:r>
    </w:p>
    <w:p>
      <w:pPr>
        <w:pStyle w:val="CaptionedFigure"/>
      </w:pPr>
      <w:r>
        <w:drawing>
          <wp:inline>
            <wp:extent cx="4206240" cy="3108960"/>
            <wp:effectExtent b="0" l="0" r="0" t="0"/>
            <wp:docPr descr="Figure 4: The LiCl-KCl phase diagram computed by the salt listing from the shipped open database, on the listing’s own grid. Light to dark: liquid, two-phase, and subsolidus fields. The dot is the computed eutectic on this grid (0.400, 640 K); the star is the measured eutectic (0.415, 626 K)." title="" id="708" name="Picture"/>
            <a:graphic>
              <a:graphicData uri="http://schemas.openxmlformats.org/drawingml/2006/picture">
                <pic:pic>
                  <pic:nvPicPr>
                    <pic:cNvPr descr="figures/fig4_salt_example.png" id="709" name="Picture"/>
                    <pic:cNvPicPr>
                      <a:picLocks noChangeArrowheads="1" noChangeAspect="1"/>
                    </pic:cNvPicPr>
                  </pic:nvPicPr>
                  <pic:blipFill>
                    <a:blip r:embed="rId707"/>
                    <a:stretch>
                      <a:fillRect/>
                    </a:stretch>
                  </pic:blipFill>
                  <pic:spPr bwMode="auto">
                    <a:xfrm>
                      <a:off x="0" y="0"/>
                      <a:ext cx="4206240" cy="3108960"/>
                    </a:xfrm>
                    <a:prstGeom prst="rect">
                      <a:avLst/>
                    </a:prstGeom>
                    <a:noFill/>
                    <a:ln w="9525">
                      <a:noFill/>
                      <a:headEnd/>
                      <a:tailEnd/>
                    </a:ln>
                  </pic:spPr>
                </pic:pic>
              </a:graphicData>
            </a:graphic>
          </wp:inline>
        </w:drawing>
      </w:r>
    </w:p>
    <w:p>
      <w:pPr>
        <w:pStyle w:val="ImageCaption"/>
      </w:pPr>
      <w:r>
        <w:t xml:space="preserve">Figure 4: The LiCl-KCl phase diagram computed by the salt listing from the shipped open database, on the listing’s own grid. Light to dark: liquid, two-phase, and subsolidus fields. The dot is the computed eutectic on this grid (0.400, 640 K); the star is the measured eutectic (0.415, 626 K).</w:t>
      </w:r>
    </w:p>
    <w:p>
      <w:pPr>
        <w:pStyle w:val="BodyText"/>
      </w:pPr>
      <w:r>
        <w:t xml:space="preserve">The alloy session reads the Thermo-Calc dialect through the same API and computes the Al-Zn diagram with a ten-line convex hull:</w:t>
      </w:r>
    </w:p>
    <w:p>
      <w:pPr>
        <w:pStyle w:val="SourceCode"/>
      </w:pPr>
      <w:r>
        <w:rPr>
          <w:rStyle w:val="VerbatimChar"/>
        </w:rPr>
        <w:t xml:space="preserve">from mqmqa import Database</w:t>
      </w:r>
      <w:r>
        <w:br/>
      </w:r>
      <w:r>
        <w:br/>
      </w:r>
      <w:r>
        <w:rPr>
          <w:rStyle w:val="VerbatimChar"/>
        </w:rPr>
        <w:t xml:space="preserve">db = Database.read("web/AlZn.tdb")                 # Thermo-Calc dialect, same reader</w:t>
      </w:r>
      <w:r>
        <w:br/>
      </w:r>
      <w:r>
        <w:rPr>
          <w:rStyle w:val="VerbatimChar"/>
        </w:rPr>
        <w:t xml:space="preserve">phases = [(db.phase_index(n), n) for n in db.phase_names]</w:t>
      </w:r>
      <w:r>
        <w:br/>
      </w:r>
      <w:r>
        <w:br/>
      </w:r>
      <w:r>
        <w:rPr>
          <w:rStyle w:val="VerbatimChar"/>
        </w:rPr>
        <w:t xml:space="preserve">diagram = []</w:t>
      </w:r>
      <w:r>
        <w:br/>
      </w:r>
      <w:r>
        <w:rPr>
          <w:rStyle w:val="VerbatimChar"/>
        </w:rPr>
        <w:t xml:space="preserve">for T in np.arange(300.0, 1001.0, 5.0):</w:t>
      </w:r>
      <w:r>
        <w:br/>
      </w:r>
      <w:r>
        <w:rPr>
          <w:rStyle w:val="VerbatimChar"/>
        </w:rPr>
        <w:t xml:space="preserve">    pts = []</w:t>
      </w:r>
      <w:r>
        <w:br/>
      </w:r>
      <w:r>
        <w:rPr>
          <w:rStyle w:val="VerbatimChar"/>
        </w:rPr>
        <w:t xml:space="preserve">    for p, name in phases:                         # every CEF phase along the join</w:t>
      </w:r>
      <w:r>
        <w:br/>
      </w:r>
      <w:r>
        <w:rPr>
          <w:rStyle w:val="VerbatimChar"/>
        </w:rPr>
        <w:t xml:space="preserve">        for y in np.linspace(1e-4, 1-1e-4, 60):</w:t>
      </w:r>
      <w:r>
        <w:br/>
      </w:r>
      <w:r>
        <w:rPr>
          <w:rStyle w:val="VerbatimChar"/>
        </w:rPr>
        <w:t xml:space="preserve">            pts.append((y, db.cef_gibbs(p, [1.0-y, y], T, per_mole_atoms=True), name))</w:t>
      </w:r>
      <w:r>
        <w:br/>
      </w:r>
      <w:r>
        <w:rPr>
          <w:rStyle w:val="VerbatimChar"/>
        </w:rPr>
        <w:t xml:space="preserve">    hull = lower_hull(pts)                         # 2-D lower convex hull of (x, G)</w:t>
      </w:r>
      <w:r>
        <w:br/>
      </w:r>
      <w:r>
        <w:rPr>
          <w:rStyle w:val="VerbatimChar"/>
        </w:rPr>
        <w:t xml:space="preserve">    for edge_a, edge_b in zip(hull, hull[1:]):</w:t>
      </w:r>
      <w:r>
        <w:br/>
      </w:r>
      <w:r>
        <w:rPr>
          <w:rStyle w:val="VerbatimChar"/>
        </w:rPr>
        <w:t xml:space="preserve">        xa, _ga, name_a = edge_a</w:t>
      </w:r>
      <w:r>
        <w:br/>
      </w:r>
      <w:r>
        <w:rPr>
          <w:rStyle w:val="VerbatimChar"/>
        </w:rPr>
        <w:t xml:space="preserve">        xb, _gb, name_b = edge_b</w:t>
      </w:r>
      <w:r>
        <w:br/>
      </w:r>
      <w:r>
        <w:rPr>
          <w:rStyle w:val="VerbatimChar"/>
        </w:rPr>
        <w:t xml:space="preserve">        diagram.append((0.5*(xa+xb), T, tuple(sorted({name_a, name_b}))))</w:t>
      </w:r>
    </w:p>
    <w:p>
      <w:pPr>
        <w:pStyle w:val="FirstParagraph"/>
      </w:pPr>
      <w:r>
        <w:t xml:space="preserve">It locates the eutectic at x</w:t>
      </w:r>
      <w:r>
        <w:rPr>
          <w:vertAlign w:val="subscript"/>
        </w:rPr>
        <w:t xml:space="preserve">Zn</w:t>
      </w:r>
      <w:r>
        <w:t xml:space="preserve"> </w:t>
      </w:r>
      <w:r>
        <w:t xml:space="preserve">= 0.890 and 660 K against the assessed 0.885 and 654 K [34] (Figure 5). The shipped AlZn.tdb is itself an openly licensed transcription of that published assessment on the SGTE unary functions [35], verified bit-identical through pycalphad against the file it transcribes. The slag systems run through the same calls behind Figures 2 and 3, and the repository’s validation scripts are their executable record.</w:t>
      </w:r>
    </w:p>
    <w:p>
      <w:pPr>
        <w:pStyle w:val="CaptionedFigure"/>
      </w:pPr>
      <w:r>
        <w:drawing>
          <wp:inline>
            <wp:extent cx="4206240" cy="3108960"/>
            <wp:effectExtent b="0" l="0" r="0" t="0"/>
            <wp:docPr descr="Figure 5: The Al-Zn phase diagram computed by the alloy listing from the shipped open TDB. Light to dark: liquid, liquid plus solid, and solid fields. The dot is the computed eutectic (0.890, 660 K); the star is the assessed eutectic (0.885, 654 K)." title="" id="711" name="Picture"/>
            <a:graphic>
              <a:graphicData uri="http://schemas.openxmlformats.org/drawingml/2006/picture">
                <pic:pic>
                  <pic:nvPicPr>
                    <pic:cNvPr descr="figures/fig5_alloy_example.png" id="712" name="Picture"/>
                    <pic:cNvPicPr>
                      <a:picLocks noChangeArrowheads="1" noChangeAspect="1"/>
                    </pic:cNvPicPr>
                  </pic:nvPicPr>
                  <pic:blipFill>
                    <a:blip r:embed="rId710"/>
                    <a:stretch>
                      <a:fillRect/>
                    </a:stretch>
                  </pic:blipFill>
                  <pic:spPr bwMode="auto">
                    <a:xfrm>
                      <a:off x="0" y="0"/>
                      <a:ext cx="4206240" cy="3108960"/>
                    </a:xfrm>
                    <a:prstGeom prst="rect">
                      <a:avLst/>
                    </a:prstGeom>
                    <a:noFill/>
                    <a:ln w="9525">
                      <a:noFill/>
                      <a:headEnd/>
                      <a:tailEnd/>
                    </a:ln>
                  </pic:spPr>
                </pic:pic>
              </a:graphicData>
            </a:graphic>
          </wp:inline>
        </w:drawing>
      </w:r>
    </w:p>
    <w:p>
      <w:pPr>
        <w:pStyle w:val="ImageCaption"/>
      </w:pPr>
      <w:r>
        <w:t xml:space="preserve">Figure 5: The Al-Zn phase diagram computed by the alloy listing from the shipped open TDB. Light to dark: liquid, liquid plus solid, and solid fields. The dot is the computed eutectic (0.890, 660 K); the star is the assessed eutectic (0.885, 654 K).</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and any loaded alloy TDB join, so a new system becomes a browser phase diagram the moment its file loads. Natural extensions are further oxide systems, the remaining ChemSage solution models, the ionic-liquid TDB model, and multicomponent Scheil on the same hull machinery. The repository also publishes an openly specified unified dialect (uTDB) that carries the MQMQA statements inside TDB grammar, with two shipped demonstration files chosen to be processes rather than curiosities: an aluminum-recycling database holding the Al-Zn alloy with its NaCl-KCl-MgCl2 salt flux, and a steelmaking database holding a basic Fe-C steel, magnetic phases included, with the FeO-MgO-SiO2 slag and its silicate solid solutions. Round-trip tests assert both reproduce their source-file physics at machine precision. Relative to the XML road of XTDB [15] (Table 1), uTDB is the on-ramp from the installed base, extending files as they are and running in this engine today, with mechanical conversion to XTDB elements the natural bridge once that schema settles. Making the calculator multilingual across the field’s file dialects is the direction of travel. Contributions and issues are handled through the GitHub repository.</w:t>
      </w:r>
    </w:p>
    <w:bookmarkEnd w:id="713"/>
    <w:bookmarkEnd w:id="714"/>
    <w:bookmarkStart w:id="715"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v0.4.0. The database files and their provenance records are in the repository’s data directory under CC BY 4.0.</w:t>
      </w:r>
    </w:p>
    <w:bookmarkEnd w:id="715"/>
    <w:bookmarkStart w:id="716" w:name="acknowledgements"/>
    <w:p>
      <w:pPr>
        <w:pStyle w:val="Heading2"/>
      </w:pPr>
      <w:r>
        <w:t xml:space="preserve">Acknowledgements</w:t>
      </w:r>
    </w:p>
    <w:p>
      <w:pPr>
        <w:pStyle w:val="FirstParagraph"/>
      </w:pPr>
      <w:r>
        <w:t xml:space="preserve">During the development of this software the author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 to its primary source before entering the database, and every reference was verified against its registry record. The author reviewed and approved all output and takes full responsibility for this article.</w:t>
      </w:r>
    </w:p>
    <w:bookmarkEnd w:id="716"/>
    <w:bookmarkStart w:id="717" w:name="funding-statement"/>
    <w:p>
      <w:pPr>
        <w:pStyle w:val="Heading2"/>
      </w:pPr>
      <w:r>
        <w:t xml:space="preserve">Funding statement</w:t>
      </w:r>
    </w:p>
    <w:p>
      <w:pPr>
        <w:pStyle w:val="FirstParagraph"/>
      </w:pPr>
      <w:r>
        <w:t xml:space="preserve">The development of this software received no external funding.</w:t>
      </w:r>
    </w:p>
    <w:bookmarkEnd w:id="717"/>
    <w:bookmarkStart w:id="718" w:name="competing-interests"/>
    <w:p>
      <w:pPr>
        <w:pStyle w:val="Heading2"/>
      </w:pPr>
      <w:r>
        <w:t xml:space="preserve">Competing interests</w:t>
      </w:r>
    </w:p>
    <w:p>
      <w:pPr>
        <w:pStyle w:val="FirstParagraph"/>
      </w:pPr>
      <w:r>
        <w:t xml:space="preserve">The author founded Odinzen LLC, which provides commercial thermodynamic modeling services, and declares this as a competing interest. The software and database published here are released in full under open licenses, and no proprietary Odinzen assets are included.</w:t>
      </w:r>
    </w:p>
    <w:bookmarkEnd w:id="718"/>
    <w:bookmarkStart w:id="719"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Andersson JO, Helander T, Höglund L, Shi P, Sundman B. Thermo-Calc &amp; DICTRA, computational tools for materials science. Calphad. 2002 Jun;26(2):273-312. doi:10.1016/S0364-5916(02)00037-8</w:t>
      </w:r>
    </w:p>
    <w:p>
      <w:pPr>
        <w:pStyle w:val="BodyText"/>
      </w:pPr>
      <w:r>
        <w:t xml:space="preserve">[14] Kulik DA, Winnefeld F, Kulik A, Miron GD, Lothenbach B. CemGEMS - an easy-to-use web application for thermodynamic modeling of cementitious materials. RILEM Tech Lett. 2021;6:36-52. doi:10.21809/rilemtechlett.2021.140</w:t>
      </w:r>
    </w:p>
    <w:p>
      <w:pPr>
        <w:pStyle w:val="BodyText"/>
      </w:pPr>
      <w:r>
        <w:t xml:space="preserve">[15] Sundman B, Miani F, van de Walle A, Hallstedt B, Kattner UR, Tang F, et al. XTDB, an XML based format for Calphad databases. Calphad. 2025 Sep;90:102849. doi:10.1016/j.calphad.2025.102849</w:t>
      </w:r>
    </w:p>
    <w:p>
      <w:pPr>
        <w:pStyle w:val="BodyText"/>
      </w:pPr>
      <w:r>
        <w:t xml:space="preserve">[16] Hillert M. The compound energy formalism. Journal of Alloys and Compounds. 2001 May;320(2):161–76. doi:10.1016/S0925-8388(00)01481-X</w:t>
      </w:r>
    </w:p>
    <w:p>
      <w:pPr>
        <w:pStyle w:val="BodyText"/>
      </w:pPr>
      <w:r>
        <w:t xml:space="preserve">[17] Eriksson G, Hack K. ChemSage - A computer program for the calculation of complex chemical equilibria. Metall Trans B. 1990 Dec;21(6):1013-23. doi:10.1007/BF02670272</w:t>
      </w:r>
    </w:p>
    <w:p>
      <w:pPr>
        <w:pStyle w:val="BodyText"/>
      </w:pPr>
      <w:r>
        <w:t xml:space="preserve">[18]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[19] Chase MW Jr. NIST-JANAF Thermochemical Tables, 4th edition. Journal of Physical and Chemical Reference Data, Monograph 9. Woodbury, NY: American Institute of Physics; 1998.</w:t>
      </w:r>
    </w:p>
    <w:p>
      <w:pPr>
        <w:pStyle w:val="BodyText"/>
      </w:pPr>
      <w:r>
        <w:t xml:space="preserve">[20] Kay DAR, Taylor J. Activities of silica in the lime + alumina + silica system. Trans Faraday Soc. 1960;56:1372. doi:10.1039/tf9605601372</w:t>
      </w:r>
    </w:p>
    <w:p>
      <w:pPr>
        <w:pStyle w:val="BodyText"/>
      </w:pPr>
      <w:r>
        <w:t xml:space="preserve">[21] Stolyarova VL, Shornikov SI, Ivanov GG, Shultz MM. High Temperature Mass Spectrometric Study of Thermodynamic Properties of the CaO-SiO2 System. J Electrochem Soc. 1991 Dec 1;138(12):3710–4. doi:10.1149/1.2085485</w:t>
      </w:r>
    </w:p>
    <w:p>
      <w:pPr>
        <w:pStyle w:val="BodyText"/>
      </w:pPr>
      <w:r>
        <w:t xml:space="preserve">[22] Björkman B. An assessment of the system Fe-O-SiO2 using a structure based model for the liquid silicate. Calphad. 1985 Jul;9(3):271–82. doi:10.1016/0364-5916(85)90012-4</w:t>
      </w:r>
    </w:p>
    <w:p>
      <w:pPr>
        <w:pStyle w:val="BodyText"/>
      </w:pPr>
      <w:r>
        <w:t xml:space="preserve">[23] Bowen NL, Schairer JF. The system MgO-FeO-SiO2. American Journal of Science. 1935 Feb 1;s5-29(170):151–217. doi:10.2475/ajs.s5-29.170.151</w:t>
      </w:r>
    </w:p>
    <w:p>
      <w:pPr>
        <w:pStyle w:val="BodyText"/>
      </w:pPr>
      <w:r>
        <w:t xml:space="preserve">[24] Greig JW. Immiscibility in silicate melts; Part I. American Journal of Science. 1927 Jan 1;s5-13(73):1–44. doi:10.2475/ajs.s5-13.73.1</w:t>
      </w:r>
    </w:p>
    <w:p>
      <w:pPr>
        <w:pStyle w:val="BodyText"/>
      </w:pPr>
      <w:r>
        <w:t xml:space="preserve">[25] Greig JW. Immiscibility in silicate melts; Part II. American Journal of Science. 1927 Feb 1;s5-13(74):133–54. doi:10.2475/ajs.s5-13.74.133</w:t>
      </w:r>
    </w:p>
    <w:p>
      <w:pPr>
        <w:pStyle w:val="BodyText"/>
      </w:pPr>
      <w:r>
        <w:t xml:space="preserve">[26]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[27] Yang H, Hu C, Zhou Y, Liu X, Shi Y, Li J, et al. MatterSim: A Deep Learning Atomistic Model Across Elements, Temperatures and Pressures. arXiv; 2024. doi:10.48550/ARXIV.2405.04967</w:t>
      </w:r>
    </w:p>
    <w:p>
      <w:pPr>
        <w:pStyle w:val="BodyText"/>
      </w:pPr>
      <w:r>
        <w:t xml:space="preserve">[28] Neumann M, Gin J, Rhodes B, Bennett S, Li Z, Choubisa H, et al. Orb: A Fast, Scalable Neural Network Potential. arXiv; 2024. doi:10.48550/ARXIV.2410.22570</w:t>
      </w:r>
    </w:p>
    <w:p>
      <w:pPr>
        <w:pStyle w:val="BodyText"/>
      </w:pPr>
      <w:r>
        <w:t xml:space="preserve">[29] Wood BJ, Kleppa OJ. Thermochemistry of forsterite-fayalite olivine solutions. Geochimica et Cosmochimica Acta. 1981 Apr;45(4):529–34. doi:10.1016/0016-7037(81)90185-X</w:t>
      </w:r>
    </w:p>
    <w:p>
      <w:pPr>
        <w:pStyle w:val="BodyText"/>
      </w:pPr>
      <w:r>
        <w:t xml:space="preserve">[30] Wu P, Eriksson G, Pelton AD, Blander M. Prediction of the Thermodynamic Properties and Phase Diagrams of Silicate Systems-Evaluation of the FeO-MgO-SiO2 System. ISIJ International. 1993;33(1):26–35. doi:10.2355/isijinternational.33.26</w:t>
      </w:r>
    </w:p>
    <w:p>
      <w:pPr>
        <w:pStyle w:val="BodyText"/>
      </w:pPr>
      <w:r>
        <w:t xml:space="preserve">[31] Barin I. Thermochemical Data of Pure Substances. 3rd ed. Weinheim: VCH; 1995. doi:10.1002/9783527619825</w:t>
      </w:r>
    </w:p>
    <w:p>
      <w:pPr>
        <w:pStyle w:val="BodyText"/>
      </w:pPr>
      <w:r>
        <w:t xml:space="preserve">[32] Hersh LS, Kleppa OJ. Enthalpies of Mixing in Some Binary Liquid Halide Mixtures. J Chem Phys. 1965;42:1309. doi:10.1063/1.1696115</w:t>
      </w:r>
    </w:p>
    <w:p>
      <w:pPr>
        <w:pStyle w:val="BodyText"/>
      </w:pPr>
      <w:r>
        <w:t xml:space="preserve">[33] Sangster J, Pelton AD. Phase Diagrams and Thermodynamic Properties of the 70 Binary Alkali Halide Systems Having Common Ions. J Phys Chem Ref Data. 1987;16:509. doi:10.1063/1.555803</w:t>
      </w:r>
    </w:p>
    <w:p>
      <w:pPr>
        <w:pStyle w:val="BodyText"/>
      </w:pPr>
      <w:r>
        <w:t xml:space="preserve">[34] an Mey S. Reevaluation of the Al-Zn system. Z Metallkd. 1993;84(7):451-5. doi:10.1515/ijmr-1993-840704</w:t>
      </w:r>
    </w:p>
    <w:p>
      <w:pPr>
        <w:pStyle w:val="BodyText"/>
      </w:pPr>
      <w:r>
        <w:t xml:space="preserve">[35] Dinsdale AT. SGTE data for pure elements. Calphad. 1991 Oct;15(4):317-425. doi:10.1016/0364-5916(91)90030-N</w:t>
      </w:r>
    </w:p>
    <w:bookmarkEnd w:id="719"/>
    <w:bookmarkEnd w:id="7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684" Target="numbering.xml" /><Relationship Type="http://schemas.openxmlformats.org/officeDocument/2006/relationships/styles" Id="rId683" Target="styles.xml" /><Relationship Type="http://schemas.openxmlformats.org/officeDocument/2006/relationships/settings" Id="rId682" Target="settings.xml" /><Relationship Type="http://schemas.openxmlformats.org/officeDocument/2006/relationships/webSettings" Id="rId681" Target="webSettings.xml" /><Relationship Type="http://schemas.openxmlformats.org/officeDocument/2006/relationships/fontTable" Id="rId680" Target="fontTable.xml" /><Relationship Type="http://schemas.openxmlformats.org/officeDocument/2006/relationships/theme" Id="rId679" Target="theme/theme1.xml" /><Relationship Type="http://schemas.openxmlformats.org/officeDocument/2006/relationships/footnotes" Id="rId678" Target="footnotes.xml" /><Relationship Type="http://schemas.openxmlformats.org/officeDocument/2006/relationships/comments" Id="rId677"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Id="rId516" Target="media/rId516.png" Type="http://schemas.openxmlformats.org/officeDocument/2006/relationships/image" /><Relationship Id="rId519" Target="media/rId519.png" Type="http://schemas.openxmlformats.org/officeDocument/2006/relationships/image" /><Relationship Id="rId522" Target="media/rId522.png" Type="http://schemas.openxmlformats.org/officeDocument/2006/relationships/image" /><Relationship Id="rId537" Target="media/rId537.png" Type="http://schemas.openxmlformats.org/officeDocument/2006/relationships/image" /><Relationship Id="rId540" Target="media/rId540.png" Type="http://schemas.openxmlformats.org/officeDocument/2006/relationships/image" /><Relationship Id="rId550" Target="media/rId550.png" Type="http://schemas.openxmlformats.org/officeDocument/2006/relationships/image" /><Relationship Id="rId553" Target="media/rId553.png" Type="http://schemas.openxmlformats.org/officeDocument/2006/relationships/image" /><Relationship Id="rId556" Target="media/rId556.png" Type="http://schemas.openxmlformats.org/officeDocument/2006/relationships/image" /><Relationship Id="rId571" Target="media/rId571.png" Type="http://schemas.openxmlformats.org/officeDocument/2006/relationships/image" /><Relationship Id="rId574" Target="media/rId574.png" Type="http://schemas.openxmlformats.org/officeDocument/2006/relationships/image" /><Relationship Id="rId584" Target="media/rId584.png" Type="http://schemas.openxmlformats.org/officeDocument/2006/relationships/image" /><Relationship Id="rId587" Target="media/rId587.png" Type="http://schemas.openxmlformats.org/officeDocument/2006/relationships/image" /><Relationship Id="rId590" Target="media/rId590.png" Type="http://schemas.openxmlformats.org/officeDocument/2006/relationships/image" /><Relationship Id="rId605" Target="media/rId605.png" Type="http://schemas.openxmlformats.org/officeDocument/2006/relationships/image" /><Relationship Id="rId608" Target="media/rId608.png" Type="http://schemas.openxmlformats.org/officeDocument/2006/relationships/image" /><Relationship Id="rId618" Target="media/rId618.png" Type="http://schemas.openxmlformats.org/officeDocument/2006/relationships/image" /><Relationship Id="rId621" Target="media/rId621.png" Type="http://schemas.openxmlformats.org/officeDocument/2006/relationships/image" /><Relationship Id="rId624" Target="media/rId624.png" Type="http://schemas.openxmlformats.org/officeDocument/2006/relationships/image" /><Relationship Id="rId639" Target="media/rId639.png" Type="http://schemas.openxmlformats.org/officeDocument/2006/relationships/image" /><Relationship Id="rId642" Target="media/rId642.png" Type="http://schemas.openxmlformats.org/officeDocument/2006/relationships/image" /><Relationship Id="rId652" Target="media/rId652.png" Type="http://schemas.openxmlformats.org/officeDocument/2006/relationships/image" /><Relationship Id="rId655" Target="media/rId655.png" Type="http://schemas.openxmlformats.org/officeDocument/2006/relationships/image" /><Relationship Id="rId658" Target="media/rId658.png" Type="http://schemas.openxmlformats.org/officeDocument/2006/relationships/image" /><Relationship Id="rId673" Target="media/rId673.png" Type="http://schemas.openxmlformats.org/officeDocument/2006/relationships/image" /><Relationship Id="rId676" Target="media/rId676.png" Type="http://schemas.openxmlformats.org/officeDocument/2006/relationships/image" /><Relationship Type="http://schemas.openxmlformats.org/officeDocument/2006/relationships/image" Id="rId686" Target="media/rId686.png" /><Relationship Type="http://schemas.openxmlformats.org/officeDocument/2006/relationships/image" Id="rId689" Target="media/rId689.png" /><Relationship Type="http://schemas.openxmlformats.org/officeDocument/2006/relationships/image" Id="rId692" Target="media/rId692.png" /><Relationship Type="http://schemas.openxmlformats.org/officeDocument/2006/relationships/image" Id="rId707" Target="media/rId707.png" /><Relationship Type="http://schemas.openxmlformats.org/officeDocument/2006/relationships/image" Id="rId710" Target="media/rId7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2026-09-03T20:48:41Z</dcterms:created>
  <dcterms:modified xsi:type="dcterms:W3CDTF">2026-09-03T20:48:41Z</dcterms:modified>
</cp:coreProperties>
</file>

<file path=docProps/custom.xml><?xml version="1.0" encoding="utf-8"?>
<Properties xmlns="http://schemas.openxmlformats.org/officeDocument/2006/custom-properties" xmlns:vt="http://schemas.openxmlformats.org/officeDocument/2006/docPropsVTypes"/>
</file>