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36.png" ContentType="image/png"/>
  <Override PartName="/word/media/rId1839.png" ContentType="image/png"/>
  <Override PartName="/word/media/rId1842.png" ContentType="image/png"/>
  <Override PartName="/word/media/rId1857.png" ContentType="image/png"/>
  <Override PartName="/word/media/rId1860.png" ContentType="image/png"/>
  <Override PartName="/word/media/rId1863.png" ContentType="image/png"/>
  <Override PartName="/word/media/rId1866.png" ContentType="image/png"/>
  <Override PartName="/word/media/rId18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79"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It also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calculates phase equilibria up to full ternary isothermal sections and liquidus projections, and Scheil-Gulliver solidification paths on any binary join. A NASA-polynomial ideal-gas engine, validated against Cantera, brings the gas equilibria a furnace atmosphere demands into the same browser and couples that gas to the condensed phases at a shared oxygen potential: to metals and oxides in the browser, reproducing Cantera’s multiphase equilibrium, and to the Modified Quasichemical slag itself at iron saturation, so the melt’s oxidation state tracks the furnace atmosphere.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1848" w:name="overview"/>
    <w:p>
      <w:pPr>
        <w:pStyle w:val="Heading2"/>
      </w:pPr>
      <w:r>
        <w:t xml:space="preserve">(1) Overview</w:t>
      </w:r>
    </w:p>
    <w:bookmarkStart w:id="1835"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1835"/>
    <w:bookmarkStart w:id="1845"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 title="" id="1837" name="Picture"/>
            <a:graphic>
              <a:graphicData uri="http://schemas.openxmlformats.org/drawingml/2006/picture">
                <pic:pic>
                  <pic:nvPicPr>
                    <pic:cNvPr descr="figures/fig1_architecture.png" id="1838" name="Picture"/>
                    <pic:cNvPicPr>
                      <a:picLocks noChangeArrowheads="1" noChangeAspect="1"/>
                    </pic:cNvPicPr>
                  </pic:nvPicPr>
                  <pic:blipFill>
                    <a:blip r:embed="rId1836"/>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calculates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computed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861 composition samples and 595 tie-facets in about two seconds). Tapping a composition reads its stable phases and pins it to a comparison list; hovering previews on desktop." title="" id="1840" name="Picture"/>
            <a:graphic>
              <a:graphicData uri="http://schemas.openxmlformats.org/drawingml/2006/picture">
                <pic:pic>
                  <pic:nvPicPr>
                    <pic:cNvPr descr="figures/fig2_browser_app.png" id="1841" name="Picture"/>
                    <pic:cNvPicPr>
                      <a:picLocks noChangeArrowheads="1" noChangeAspect="1"/>
                    </pic:cNvPicPr>
                  </pic:nvPicPr>
                  <pic:blipFill>
                    <a:blip r:embed="rId1839"/>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861 composition samples and 595 tie-facets in about two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[35], measured mixing calorimetry [36], and the measured eutectic, liquidus, and solvus record of the halide literature [37], and loadable in the browser application with one click. The nuclear community’s MSTDB-TC [38]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1843" name="Picture"/>
            <a:graphic>
              <a:graphicData uri="http://schemas.openxmlformats.org/drawingml/2006/picture">
                <pic:pic>
                  <pic:nvPicPr>
                    <pic:cNvPr descr="figures/fig3_ternary.png" id="1844" name="Picture"/>
                    <pic:cNvPicPr>
                      <a:picLocks noChangeArrowheads="1" noChangeAspect="1"/>
                    </pic:cNvPicPr>
                  </pic:nvPicPr>
                  <pic:blipFill>
                    <a:blip r:embed="rId1842"/>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[19,33]</w:t>
            </w:r>
          </w:p>
        </w:tc>
        <w:tc>
          <w:tcPr/>
          <w:p>
            <w:pPr>
              <w:pStyle w:val="Compact"/>
              <w:jc w:val="left"/>
            </w:pPr>
            <w:r>
              <w:t xml:space="preserve">measured liquidus-surface topology [24]; stable phase sets match pycalphad at 15 of 16 points</w:t>
            </w:r>
          </w:p>
        </w:tc>
      </w:tr>
    </w:tbl>
    <w:bookmarkEnd w:id="1845"/>
    <w:bookmarkStart w:id="1846"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1846"/>
    <w:bookmarkStart w:id="1847"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132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[39];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[40]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pStyle w:val="Compact"/>
              <w:jc w:val="left"/>
            </w:pPr>
            <w:r>
              <w:t xml:space="preserve">Gas-slag coupling (iron-saturated)</w:t>
            </w:r>
          </w:p>
        </w:tc>
        <w:tc>
          <w:tcPr/>
          <w:p>
            <w:pPr>
              <w:pStyle w:val="Compact"/>
              <w:jc w:val="left"/>
            </w:pPr>
            <w:r>
              <w:t xml:space="preserve">gas + MQMQA slag through the FeO activity; equilibrium CO</w:t>
            </w:r>
            <w:r>
              <w:rPr>
                <w:vertAlign w:val="subscript"/>
              </w:rPr>
              <w:t xml:space="preserve">2</w:t>
            </w:r>
            <w:r>
              <w:t xml:space="preserve">/CO vs slag composition</w:t>
            </w:r>
          </w:p>
        </w:tc>
        <w:tc>
          <w:tcPr/>
          <w:p>
            <w:pPr>
              <w:pStyle w:val="Compact"/>
              <w:jc w:val="left"/>
            </w:pPr>
            <w:r>
              <w:t xml:space="preserve">pure-FeO limit within 1% of the Cantera Fe/FeO buffer; slag activity matches the fitted iron-saturated data</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[24]. Development practice is plain: the repository is version controlled with tagged releases (v0.1.0 through the v0.5.0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1847"/>
    <w:bookmarkEnd w:id="1848"/>
    <w:bookmarkStart w:id="1856" w:name="availability"/>
    <w:p>
      <w:pPr>
        <w:pStyle w:val="Heading2"/>
      </w:pPr>
      <w:r>
        <w:t xml:space="preserve">(2) Availability</w:t>
      </w:r>
    </w:p>
    <w:bookmarkStart w:id="1849"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1849"/>
    <w:bookmarkStart w:id="1850"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1850"/>
    <w:bookmarkStart w:id="1851"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1851"/>
    <w:bookmarkStart w:id="1852"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1852"/>
    <w:bookmarkStart w:id="1853" w:name="list-of-contributors"/>
    <w:p>
      <w:pPr>
        <w:pStyle w:val="Heading3"/>
      </w:pPr>
      <w:r>
        <w:t xml:space="preserve">List of contributors</w:t>
      </w:r>
    </w:p>
    <w:p>
      <w:pPr>
        <w:pStyle w:val="FirstParagraph"/>
      </w:pPr>
      <w:r>
        <w:t xml:space="preserve">Michael E. Bustamante (design, implementation, validation, data curation).</w:t>
      </w:r>
    </w:p>
    <w:bookmarkEnd w:id="1853"/>
    <w:bookmarkStart w:id="1854"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https://github.com/odinzen/hephaestus-mqmqa-public/releases/tag/v0.5.0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v0.5.0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1854"/>
    <w:bookmarkStart w:id="1855" w:name="language"/>
    <w:p>
      <w:pPr>
        <w:pStyle w:val="Heading3"/>
      </w:pPr>
      <w:r>
        <w:t xml:space="preserve">Language</w:t>
      </w:r>
    </w:p>
    <w:p>
      <w:pPr>
        <w:pStyle w:val="FirstParagraph"/>
      </w:pPr>
      <w:r>
        <w:t xml:space="preserve">English.</w:t>
      </w:r>
    </w:p>
    <w:bookmarkEnd w:id="1855"/>
    <w:bookmarkEnd w:id="1856"/>
    <w:bookmarkStart w:id="1873"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1872"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1858" name="Picture"/>
            <a:graphic>
              <a:graphicData uri="http://schemas.openxmlformats.org/drawingml/2006/picture">
                <pic:pic>
                  <pic:nvPicPr>
                    <pic:cNvPr descr="figures/fig4_salt_example.png" id="1859" name="Picture"/>
                    <pic:cNvPicPr>
                      <a:picLocks noChangeArrowheads="1" noChangeAspect="1"/>
                    </pic:cNvPicPr>
                  </pic:nvPicPr>
                  <pic:blipFill>
                    <a:blip r:embed="rId1857"/>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[39] (Figure 5). The shipped AlZn.tdb is itself an openly licensed transcription of that published assessment on the Scientific Group Thermodata Europe (SGTE) unary functions [41],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1861" name="Picture"/>
            <a:graphic>
              <a:graphicData uri="http://schemas.openxmlformats.org/drawingml/2006/picture">
                <pic:pic>
                  <pic:nvPicPr>
                    <pic:cNvPr descr="figures/fig5_alloy_example.png" id="1862" name="Picture"/>
                    <pic:cNvPicPr>
                      <a:picLocks noChangeArrowheads="1" noChangeAspect="1"/>
                    </pic:cNvPicPr>
                  </pic:nvPicPr>
                  <pic:blipFill>
                    <a:blip r:embed="rId1860"/>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[42] and GRI-Mech [43], and solves ideal-gas equilibrium at fixed temperature and pressure by the element-potential method, validated against Cantera [40]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same engine also carries parameter uncertainty to the diagram. Refitting the Al-Zn liquid and face-centred-cubic excess parameters against the measured liquid enthalpy of mixing and the assessed phase boundaries [39, 44, 45] by Markov-chain Monte Carlo, and propagating the posterior through the browser calculation, produces the confidence band of Figure 8. Three excess coefficients were sampled, the liquid enthalpy and its temperature term and the face-centred-cubic enthalpy, by an ensemble of six walkers over 1500 steps under ESPEI’s default equal dataset weighting, discarding the first half as burn-in; the walker-mean chains are stationary, their between- and within-chain variances agree to within ten percent (Gelman-Rubin R-hat at most 1.1), the effective sample size is of order 100, and no pair of parameters correlates above about 0.6.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1864" name="Picture"/>
            <a:graphic>
              <a:graphicData uri="http://schemas.openxmlformats.org/drawingml/2006/picture">
                <pic:pic>
                  <pic:nvPicPr>
                    <pic:cNvPr descr="figures/fig6_utdb_steel.png" id="1865" name="Picture"/>
                    <pic:cNvPicPr>
                      <a:picLocks noChangeArrowheads="1" noChangeAspect="1"/>
                    </pic:cNvPicPr>
                  </pic:nvPicPr>
                  <pic:blipFill>
                    <a:blip r:embed="rId1863"/>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1867" name="Picture"/>
            <a:graphic>
              <a:graphicData uri="http://schemas.openxmlformats.org/drawingml/2006/picture">
                <pic:pic>
                  <pic:nvPicPr>
                    <pic:cNvPr descr="figures/fig7_gas_steel.png" id="1868" name="Picture"/>
                    <pic:cNvPicPr>
                      <a:picLocks noChangeArrowheads="1" noChangeAspect="1"/>
                    </pic:cNvPicPr>
                  </pic:nvPicPr>
                  <pic:blipFill>
                    <a:blip r:embed="rId1866"/>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4572000" cy="3556000"/>
            <wp:effectExtent b="0" l="0" r="0" t="0"/>
            <wp:docPr descr="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assessed eutectic." title="" id="1870" name="Picture"/>
            <a:graphic>
              <a:graphicData uri="http://schemas.openxmlformats.org/drawingml/2006/picture">
                <pic:pic>
                  <pic:nvPicPr>
                    <pic:cNvPr descr="figures/fig8_uq_alzn.png" id="1871" name="Picture"/>
                    <pic:cNvPicPr>
                      <a:picLocks noChangeArrowheads="1" noChangeAspect="1"/>
                    </pic:cNvPicPr>
                  </pic:nvPicPr>
                  <pic:blipFill>
                    <a:blip r:embed="rId1869"/>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8: Al-Zn phase diagram with ESPEI parameter uncertainty. The liquid and face-centred-cubic (fcc) excess parameters were refit by Markov-chain Monte Carlo to the measured liquid enthalpy of mixing (Debski et al., digitised from Dinsdale et al. [44]) and the assessed phase boundaries (Massalski [45]; Mey [39]),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assessed eutectic.</w:t>
      </w:r>
    </w:p>
    <w:p>
      <w:pPr>
        <w:pStyle w:val="BodyText"/>
      </w:pPr>
      <w:r>
        <w:t xml:space="preserve">The gap this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v0.5.0 archives the exact version described, and the 132-test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1872"/>
    <w:bookmarkEnd w:id="1873"/>
    <w:bookmarkStart w:id="1874"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v0.5.0. The database files and their provenance records are in the repository’s data directory under CC BY 4.0.</w:t>
      </w:r>
    </w:p>
    <w:bookmarkEnd w:id="1874"/>
    <w:bookmarkStart w:id="1875"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1875"/>
    <w:bookmarkStart w:id="1876" w:name="funding-statement"/>
    <w:p>
      <w:pPr>
        <w:pStyle w:val="Heading2"/>
      </w:pPr>
      <w:r>
        <w:t xml:space="preserve">Funding statement</w:t>
      </w:r>
    </w:p>
    <w:p>
      <w:pPr>
        <w:pStyle w:val="FirstParagraph"/>
      </w:pPr>
      <w:r>
        <w:t xml:space="preserve">The development of this software received no external funding.</w:t>
      </w:r>
    </w:p>
    <w:bookmarkEnd w:id="1876"/>
    <w:bookmarkStart w:id="1877"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1877"/>
    <w:bookmarkStart w:id="1878"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Barin I. Thermochemical Data of Pure Substances. 3rd ed. Weinheim: VCH; 1995. doi:10.1002/9783527619825</w:t>
      </w:r>
    </w:p>
    <w:p>
      <w:pPr>
        <w:pStyle w:val="BodyText"/>
      </w:pPr>
      <w:r>
        <w:t xml:space="preserve">[36] Hersh LS, Kleppa OJ. Enthalpies of Mixing in Some Binary Liquid Halide Mixtures. J Chem Phys. 1965;42:1309. doi:10.1063/1.1696115</w:t>
      </w:r>
    </w:p>
    <w:p>
      <w:pPr>
        <w:pStyle w:val="BodyText"/>
      </w:pPr>
      <w:r>
        <w:t xml:space="preserve">[37] Sangster J, Pelton AD. Phase Diagrams and Thermodynamic Properties of the 70 Binary Alkali Halide Systems Having Common Ions. J Phys Chem Ref Data. 1987;16:509. doi:10.1063/1.555803</w:t>
      </w:r>
    </w:p>
    <w:p>
      <w:pPr>
        <w:pStyle w:val="BodyText"/>
      </w:pPr>
      <w:r>
        <w:t xml:space="preserve">[38]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[39] an Mey S. Reevaluation of the Al-Zn system. Z Metallkd. 1993;84(7):451-5. doi:10.1515/ijmr-1993-840704</w:t>
      </w:r>
    </w:p>
    <w:p>
      <w:pPr>
        <w:pStyle w:val="BodyText"/>
      </w:pPr>
      <w:r>
        <w:t xml:space="preserve">[40] Goodwin DG, Moffat HK, Schoegl I, Speth RL, Weber BW. Cantera: An Object-oriented Software Toolkit for Chemical Kinetics, Thermodynamics, and Transport Processes. Version 3.1.0; 2024. doi:10.5281/zenodo.14455267</w:t>
      </w:r>
    </w:p>
    <w:p>
      <w:pPr>
        <w:pStyle w:val="BodyText"/>
      </w:pPr>
      <w:r>
        <w:t xml:space="preserve">[41] Dinsdale AT. SGTE data for pure elements. Calphad. 1991 Oct;15(4):317-425. doi:10.1016/0364-5916(91)90030-N</w:t>
      </w:r>
    </w:p>
    <w:p>
      <w:pPr>
        <w:pStyle w:val="BodyText"/>
      </w:pPr>
      <w:r>
        <w:t xml:space="preserve">[42] McBride BJ, Zehe MJ, Gordon S. NASA Glenn Coefficients for Calculating Thermodynamic Properties of Individual Species. NASA/TP-2002-211556. Cleveland (OH): NASA Glenn Research Center; 2002.</w:t>
      </w:r>
    </w:p>
    <w:p>
      <w:pPr>
        <w:pStyle w:val="BodyText"/>
      </w:pPr>
      <w:r>
        <w:t xml:space="preserve">[43] Smith GP, Golden DM, Frenklach M, Moriarty NW, Eiteneer B, Goldenberg M, et al. GRI-Mech 3.0 [Internet]. 1999. Available from: http://combustion.berkeley.edu/gri-mech/</w:t>
      </w:r>
    </w:p>
    <w:p>
      <w:pPr>
        <w:pStyle w:val="BodyText"/>
      </w:pPr>
      <w:r>
        <w:t xml:space="preserve">[44]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[45] Massalski TB, editor. Binary Alloy Phase Diagrams. 2nd ed. Materials Park (OH): ASM International; 1990.</w:t>
      </w:r>
    </w:p>
    <w:bookmarkEnd w:id="1878"/>
    <w:bookmarkEnd w:id="18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34" Target="numbering.xml" /><Relationship Type="http://schemas.openxmlformats.org/officeDocument/2006/relationships/styles" Id="rId1833" Target="styles.xml" /><Relationship Type="http://schemas.openxmlformats.org/officeDocument/2006/relationships/settings" Id="rId1832" Target="settings.xml" /><Relationship Type="http://schemas.openxmlformats.org/officeDocument/2006/relationships/webSettings" Id="rId1831" Target="webSettings.xml" /><Relationship Type="http://schemas.openxmlformats.org/officeDocument/2006/relationships/fontTable" Id="rId1830" Target="fontTable.xml" /><Relationship Type="http://schemas.openxmlformats.org/officeDocument/2006/relationships/theme" Id="rId1829" Target="theme/theme1.xml" /><Relationship Type="http://schemas.openxmlformats.org/officeDocument/2006/relationships/footnotes" Id="rId1828" Target="footnotes.xml" /><Relationship Type="http://schemas.openxmlformats.org/officeDocument/2006/relationships/comments" Id="rId1827"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Type="http://schemas.openxmlformats.org/officeDocument/2006/relationships/image" Id="rId1836" Target="media/rId1836.png" /><Relationship Type="http://schemas.openxmlformats.org/officeDocument/2006/relationships/image" Id="rId1839" Target="media/rId1839.png" /><Relationship Type="http://schemas.openxmlformats.org/officeDocument/2006/relationships/image" Id="rId1842" Target="media/rId1842.png" /><Relationship Type="http://schemas.openxmlformats.org/officeDocument/2006/relationships/image" Id="rId1857" Target="media/rId1857.png" /><Relationship Type="http://schemas.openxmlformats.org/officeDocument/2006/relationships/image" Id="rId1860" Target="media/rId1860.png" /><Relationship Type="http://schemas.openxmlformats.org/officeDocument/2006/relationships/image" Id="rId1863" Target="media/rId1863.png" /><Relationship Type="http://schemas.openxmlformats.org/officeDocument/2006/relationships/image" Id="rId1866" Target="media/rId1866.png" /><Relationship Type="http://schemas.openxmlformats.org/officeDocument/2006/relationships/image" Id="rId1869" Target="media/rId186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2026-09-08T18:21:58Z</dcterms:created>
  <dcterms:modified xsi:type="dcterms:W3CDTF">2026-09-08T18:21:58Z</dcterms:modified>
</cp:coreProperties>
</file>

<file path=docProps/custom.xml><?xml version="1.0" encoding="utf-8"?>
<Properties xmlns="http://schemas.openxmlformats.org/officeDocument/2006/custom-properties" xmlns:vt="http://schemas.openxmlformats.org/officeDocument/2006/docPropsVTypes"/>
</file>